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none" w:color="1F2423" w:sz="0"/>
          <w:left w:val="none" w:color="1F2423" w:sz="0"/>
          <w:bottom w:val="none" w:color="1F2423" w:sz="0"/>
          <w:right w:val="none" w:color="1F2423" w:sz="0"/>
          <w:insideH w:val="none" w:color="1F2423" w:sz="0"/>
          <w:insideV w:val="none" w:color="1F2423" w:sz="0"/>
        </w:tblBorders>
        <w:tblLayout w:type="fixed"/>
      </w:tblPr>
      <w:tblGrid>
        <w:gridCol w:w="4300"/>
        <w:gridCol w:w="5906"/>
      </w:tblGrid>
      <w:tr>
        <w:trPr>
          <w:cantSplit/>
        </w:trPr>
        <w:tc>
          <w:tcPr>
            <w:tcW w:type="dxa" w:w="4300"/>
            <w:shd w:fill="1F2423" w:val="clear"/>
            <w:tcMar>
              <w:top w:type="dxa" w:w="330"/>
              <w:left w:type="dxa" w:w="300"/>
              <w:bottom w:type="dxa" w:w="300"/>
              <w:right w:type="dxa" w:w="250"/>
            </w:tcMar>
          </w:tcPr>
          <w:p>
            <w:pPr>
              <w:keepNext/>
              <w:keepLines/>
              <w:spacing w:before="0" w:after="72" w:line="21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B28A52"/>
                <w:sz w:val="15"/>
                <w:szCs w:val="15"/>
              </w:rPr>
              <w:t xml:space="preserve">ПЕРСОНАЛЬНЫЙ AI-СЕРВЕР ДЛЯ КОМПАНИИ</w:t>
            </w:r>
          </w:p>
          <w:p>
            <w:pPr>
              <w:keepNext/>
              <w:keepLines/>
              <w:spacing w:before="0" w:after="150" w:line="750"/>
            </w:pPr>
            <w:r>
              <w:rPr>
                <w:rFonts w:ascii="Literata" w:cs="Literata" w:eastAsia="Literata" w:hAnsi="Literata"/>
                <w:b/>
                <w:bCs/>
                <w:i w:val="false"/>
                <w:iCs w:val="false"/>
                <w:caps w:val="false"/>
                <w:color w:val="FCFAF5"/>
                <w:sz w:val="60"/>
                <w:szCs w:val="60"/>
              </w:rPr>
              <w:t xml:space="preserve">Ваши документы начинают работать на вас</w:t>
            </w:r>
          </w:p>
          <w:p>
            <w:pPr>
              <w:keepNext w:val="false"/>
              <w:keepLines/>
              <w:spacing w:before="0" w:after="150" w:line="255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23"/>
                <w:szCs w:val="23"/>
              </w:rPr>
              <w:t xml:space="preserve">Сначала факт. Потом — минимально достаточный контур.</w:t>
            </w:r>
          </w:p>
          <w:p>
            <w:pPr>
              <w:keepNext w:val="false"/>
              <w:keepLines/>
              <w:spacing w:before="0" w:after="110" w:line="25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20"/>
                <w:szCs w:val="20"/>
              </w:rPr>
              <w:t xml:space="preserve">Заказчик: __________</w:t>
            </w:r>
          </w:p>
          <w:p>
            <w:pPr>
              <w:keepNext w:val="false"/>
              <w:keepLines/>
              <w:spacing w:before="0" w:after="0" w:line="25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B28A52"/>
                <w:sz w:val="17"/>
                <w:szCs w:val="17"/>
              </w:rPr>
              <w:t xml:space="preserve">Ценовой снимок · 09.09.2026</w:t>
            </w:r>
          </w:p>
        </w:tc>
        <w:tc>
          <w:tcPr>
            <w:tcW w:type="dxa" w:w="5906"/>
            <w:shd w:fill="1F2423" w:val="clear"/>
            <w:tcMar>
              <w:top w:type="dxa" w:w="300"/>
              <w:left w:type="dxa" w:w="150"/>
              <w:bottom w:type="dxa" w:w="240"/>
              <w:right w:type="dxa" w:w="150"/>
            </w:tcMar>
          </w:tcPr>
          <w:p>
            <w:pPr>
              <w:spacing w:line="3255" w:after="25"/>
              <w:jc w:val="center"/>
            </w:pPr>
            <w:r>
              <w:drawing>
                <wp:inline distT="0" distB="0" distL="0" distR="0">
                  <wp:extent cx="3667125" cy="20669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25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keepLines/>
              <w:spacing w:before="0" w:after="70" w:line="190"/>
              <w:jc w:val="center"/>
            </w:pPr>
            <w:r>
              <w:rPr>
                <w:rFonts w:ascii="Golos Text" w:cs="Golos Text" w:eastAsia="Golos Text" w:hAnsi="Golos Text"/>
                <w:b w:val="false"/>
                <w:bCs w:val="false"/>
                <w:i/>
                <w:iCs/>
                <w:caps w:val="false"/>
                <w:color w:val="6E706D"/>
                <w:sz w:val="15"/>
                <w:szCs w:val="15"/>
              </w:rPr>
              <w:t xml:space="preserve">Визуализация концепции</w:t>
            </w:r>
          </w:p>
        </w:tc>
      </w:tr>
    </w:tbl>
    <w:p>
      <w:pPr>
        <w:keepNext/>
        <w:spacing w:before="90" w:after="75" w:line="360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28"/>
          <w:szCs w:val="28"/>
        </w:rPr>
        <w:t xml:space="preserve">Сначала разберём одну дорогую рутину</w:t>
      </w:r>
    </w:p>
    <w:p>
      <w:pPr>
        <w:keepNext w:val="false"/>
        <w:keepLines/>
        <w:spacing w:before="0" w:after="92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У компании уже есть люди, документы и рабочие системы. Проблема не в нехватке ещё одного чата, а в часах на поиск нужной версии, перенос данных, сверку и первый черновик.</w:t>
      </w:r>
    </w:p>
    <w:p>
      <w:pPr>
        <w:keepNext w:val="false"/>
        <w:keepLines/>
        <w:spacing w:before="0" w:after="92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Начинаем с одного выбранного процесса. Помощник работает с разрешёнными источниками, показывает основания ответа и готовит результат к проверке; решение, подпись, отправка, платёж и профессиональная ответственность остаются у сотрудников.</w:t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2400"/>
        <w:gridCol w:w="7806"/>
      </w:tblGrid>
      <w:tr>
        <w:trPr>
          <w:cantSplit/>
        </w:trPr>
        <w:tc>
          <w:tcPr>
            <w:tcW w:type="dxa" w:w="2400"/>
            <w:shd w:fill="1F2423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7"/>
                <w:szCs w:val="17"/>
              </w:rPr>
              <w:t xml:space="preserve">Первый шаг</w:t>
            </w:r>
          </w:p>
        </w:tc>
        <w:tc>
          <w:tcPr>
            <w:tcW w:type="dxa" w:w="7806"/>
            <w:shd w:fill="1F2423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7"/>
                <w:szCs w:val="17"/>
              </w:rPr>
              <w:t xml:space="preserve">Что получает компания</w:t>
            </w:r>
          </w:p>
        </w:tc>
      </w:tr>
      <w:tr>
        <w:trPr>
          <w:cantSplit/>
        </w:trPr>
        <w:tc>
          <w:tcPr>
            <w:tcW w:type="dxa" w:w="2400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Процесс</w:t>
            </w:r>
          </w:p>
        </w:tc>
        <w:tc>
          <w:tcPr>
            <w:tcW w:type="dxa" w:w="7806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Карта потерь времени и качества; перечень допустимых данных и ответственных</w:t>
            </w:r>
          </w:p>
        </w:tc>
      </w:tr>
      <w:tr>
        <w:trPr>
          <w:cantSplit/>
        </w:trPr>
        <w:tc>
          <w:tcPr>
            <w:tcW w:type="dxa" w:w="2400"/>
            <w:shd w:fill="F0EBE1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Проверка</w:t>
            </w:r>
          </w:p>
        </w:tc>
        <w:tc>
          <w:tcPr>
            <w:tcW w:type="dxa" w:w="7806"/>
            <w:shd w:fill="F0EBE1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Выборка реальных задач; критерии успеха и повод остановить пилот</w:t>
            </w:r>
          </w:p>
        </w:tc>
      </w:tr>
      <w:tr>
        <w:trPr>
          <w:cantSplit/>
        </w:trPr>
        <w:tc>
          <w:tcPr>
            <w:tcW w:type="dxa" w:w="2400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Решение</w:t>
            </w:r>
          </w:p>
        </w:tc>
        <w:tc>
          <w:tcPr>
            <w:tcW w:type="dxa" w:w="7806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Предварительный вариант размещения и бюджетный коридор</w:t>
            </w:r>
          </w:p>
        </w:tc>
      </w:tr>
    </w:tbl>
    <w:p>
      <w:pPr>
        <w:keepNext w:val="false"/>
        <w:keepLines/>
        <w:spacing w:before="70" w:after="55" w:line="250"/>
        <w:jc w:val="left"/>
      </w:pPr>
      <w:r>
        <w:rPr>
          <w:rFonts w:ascii="Golos Text" w:cs="Golos Text" w:eastAsia="Golos Text" w:hAnsi="Golos Text"/>
          <w:b/>
          <w:bCs/>
          <w:i w:val="false"/>
          <w:iCs w:val="false"/>
          <w:caps w:val="false"/>
          <w:color w:val="1F2423"/>
          <w:sz w:val="20"/>
          <w:szCs w:val="20"/>
        </w:rPr>
        <w:t xml:space="preserve">Сначала измерим пользу. Затем решим: локальный сервер, облачный режим или остановка проекта.</w:t>
      </w:r>
    </w:p>
    <w:tbl>
      <w:tblPr>
        <w:tblW w:type="dxa" w:w="10206"/>
        <w:tblBorders>
          <w:top w:val="none" w:color="F0EBE1" w:sz="0"/>
          <w:left w:val="single" w:color="B28A52" w:sz="18"/>
          <w:bottom w:val="none" w:color="F0EBE1" w:sz="0"/>
          <w:right w:val="none" w:color="F0EBE1" w:sz="0"/>
          <w:insideH w:val="none" w:color="F0EBE1" w:sz="0"/>
          <w:insideV w:val="none" w:color="F0EBE1" w:sz="0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shd w:fill="F0EBE1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keepNext w:val="false"/>
              <w:keepLines/>
              <w:spacing w:before="0" w:after="0" w:line="23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18"/>
                <w:szCs w:val="18"/>
              </w:rPr>
              <w:t xml:space="preserve">Рекомендация · 90-минутная диагностика с владельцем процесса, ИТ и — для чувствительных данных — ИБ/правом.</w:t>
            </w:r>
          </w:p>
        </w:tc>
      </w:tr>
    </w:tbl>
    <w:p>
      <w:pPr>
        <w:keepNext w:val="false"/>
        <w:keepLines/>
        <w:pBdr>
          <w:top w:val="single" w:color="D9D4CA" w:sz="6" w:space="5"/>
        </w:pBdr>
        <w:spacing w:before="90" w:after="0" w:line="19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6E706D"/>
          <w:sz w:val="15"/>
          <w:szCs w:val="15"/>
        </w:rPr>
        <w:t xml:space="preserve">Источники · E1 — продуктовый контекст Format43; ценовой снимок на 09.09.2026</w:t>
      </w:r>
    </w:p>
    <w:p>
      <w:r>
        <w:br w:type="page"/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5613"/>
        <w:gridCol w:w="4592"/>
      </w:tblGrid>
      <w:tr>
        <w:trPr>
          <w:cantSplit/>
        </w:trPr>
        <w:tc>
          <w:tcPr>
            <w:tcW w:type="dxa" w:w="5613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ФОРМАТ 43</w:t>
            </w: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A64B2A"/>
                <w:sz w:val="14"/>
                <w:szCs w:val="14"/>
              </w:rPr>
              <w:t xml:space="preserve">   СНАЧАЛА ФАКТ</w:t>
            </w:r>
          </w:p>
        </w:tc>
        <w:tc>
          <w:tcPr>
            <w:tcW w:type="dxa" w:w="4592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righ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6E706D"/>
                <w:sz w:val="14"/>
                <w:szCs w:val="14"/>
              </w:rPr>
              <w:t xml:space="preserve">КОММЕРЧЕСКОЕ ПРЕДЛОЖЕНИЕ  ·  02</w:t>
            </w:r>
          </w:p>
        </w:tc>
      </w:tr>
    </w:tbl>
    <w:p>
      <w:pPr>
        <w:keepNext/>
        <w:keepLines/>
        <w:spacing w:before="0" w:after="72" w:line="210"/>
        <w:jc w:val="left"/>
      </w:pPr>
      <w:r>
        <w:rPr>
          <w:rFonts w:ascii="Golos Text" w:cs="Golos Text" w:eastAsia="Golos Text" w:hAnsi="Golos Text"/>
          <w:b/>
          <w:bCs/>
          <w:i w:val="false"/>
          <w:iCs w:val="false"/>
          <w:caps w:val="false"/>
          <w:color w:val="A64B2A"/>
          <w:sz w:val="15"/>
          <w:szCs w:val="15"/>
        </w:rPr>
        <w:t xml:space="preserve">РАБОЧИЙ ДЕНЬ</w:t>
      </w:r>
    </w:p>
    <w:p>
      <w:pPr>
        <w:keepNext/>
        <w:keepLines/>
        <w:spacing w:before="0" w:after="150" w:line="575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46"/>
          <w:szCs w:val="46"/>
        </w:rPr>
        <w:t xml:space="preserve">Что изменится на следующий день после запуска</w:t>
      </w:r>
    </w:p>
    <w:p>
      <w:pPr>
        <w:keepNext w:val="false"/>
        <w:keepLines/>
        <w:spacing w:before="0" w:after="92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Сотрудник не начинает с пустого листа. Он задаёт вопрос, загружает разрешённый документ или получает входящую задачу; система разбирает текст, скан, встречу или фото и готовит проверяемый черновик.</w:t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1950"/>
        <w:gridCol w:w="5850"/>
        <w:gridCol w:w="2406"/>
      </w:tblGrid>
      <w:tr>
        <w:trPr>
          <w:cantSplit/>
        </w:trPr>
        <w:tc>
          <w:tcPr>
            <w:tcW w:type="dxa" w:w="1950"/>
            <w:shd w:fill="1F2423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6"/>
                <w:szCs w:val="16"/>
              </w:rPr>
              <w:t xml:space="preserve">Функция</w:t>
            </w:r>
          </w:p>
        </w:tc>
        <w:tc>
          <w:tcPr>
            <w:tcW w:type="dxa" w:w="5850"/>
            <w:shd w:fill="1F2423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6"/>
                <w:szCs w:val="16"/>
              </w:rPr>
              <w:t xml:space="preserve">Проверяемый результат</w:t>
            </w:r>
          </w:p>
        </w:tc>
        <w:tc>
          <w:tcPr>
            <w:tcW w:type="dxa" w:w="2406"/>
            <w:shd w:fill="1F2423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6"/>
                <w:szCs w:val="16"/>
              </w:rPr>
              <w:t xml:space="preserve">Решение остаётся у</w:t>
            </w:r>
          </w:p>
        </w:tc>
      </w:tr>
      <w:tr>
        <w:trPr>
          <w:cantSplit/>
        </w:trPr>
        <w:tc>
          <w:tcPr>
            <w:tcW w:type="dxa" w:w="1950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Руководитель</w:t>
            </w:r>
          </w:p>
        </w:tc>
        <w:tc>
          <w:tcPr>
            <w:tcW w:type="dxa" w:w="5850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Утренний бриф, подготовка к встрече, решения и просроченные поручения</w:t>
            </w:r>
          </w:p>
        </w:tc>
        <w:tc>
          <w:tcPr>
            <w:tcW w:type="dxa" w:w="2406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Руководителя</w:t>
            </w:r>
          </w:p>
        </w:tc>
      </w:tr>
      <w:tr>
        <w:trPr>
          <w:cantSplit/>
        </w:trPr>
        <w:tc>
          <w:tcPr>
            <w:tcW w:type="dxa" w:w="1950"/>
            <w:shd w:fill="F0EBE1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Секретарь</w:t>
            </w:r>
          </w:p>
        </w:tc>
        <w:tc>
          <w:tcPr>
            <w:tcW w:type="dxa" w:w="5850"/>
            <w:shd w:fill="F0EBE1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Протокол, ответственные и сроки после совещания</w:t>
            </w:r>
          </w:p>
        </w:tc>
        <w:tc>
          <w:tcPr>
            <w:tcW w:type="dxa" w:w="2406"/>
            <w:shd w:fill="F0EBE1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Владельца встречи</w:t>
            </w:r>
          </w:p>
        </w:tc>
      </w:tr>
      <w:tr>
        <w:trPr>
          <w:cantSplit/>
        </w:trPr>
        <w:tc>
          <w:tcPr>
            <w:tcW w:type="dxa" w:w="1950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Закупки</w:t>
            </w:r>
          </w:p>
        </w:tc>
        <w:tc>
          <w:tcPr>
            <w:tcW w:type="dxa" w:w="5850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Единая таблица из КП: пропуски, НДС, валюта, сроки</w:t>
            </w:r>
          </w:p>
        </w:tc>
        <w:tc>
          <w:tcPr>
            <w:tcW w:type="dxa" w:w="2406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Уполномоченного закупщика</w:t>
            </w:r>
          </w:p>
        </w:tc>
      </w:tr>
      <w:tr>
        <w:trPr>
          <w:cantSplit/>
        </w:trPr>
        <w:tc>
          <w:tcPr>
            <w:tcW w:type="dxa" w:w="1950"/>
            <w:shd w:fill="F0EBE1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Юристы · бухгалтерия</w:t>
            </w:r>
          </w:p>
        </w:tc>
        <w:tc>
          <w:tcPr>
            <w:tcW w:type="dxa" w:w="5850"/>
            <w:shd w:fill="F0EBE1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Разбор договора, цитаты, проект правок; первичка, реквизиты, исключения</w:t>
            </w:r>
          </w:p>
        </w:tc>
        <w:tc>
          <w:tcPr>
            <w:tcW w:type="dxa" w:w="2406"/>
            <w:shd w:fill="F0EBE1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Юриста · бухгалтера</w:t>
            </w:r>
          </w:p>
        </w:tc>
      </w:tr>
      <w:tr>
        <w:trPr>
          <w:cantSplit/>
        </w:trPr>
        <w:tc>
          <w:tcPr>
            <w:tcW w:type="dxa" w:w="1950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ПТО · строительство</w:t>
            </w:r>
          </w:p>
        </w:tc>
        <w:tc>
          <w:tcPr>
            <w:tcW w:type="dxa" w:w="5850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Поиск по ПД/РД, черновик ППР, комплектность, сметные расхождения</w:t>
            </w:r>
          </w:p>
        </w:tc>
        <w:tc>
          <w:tcPr>
            <w:tcW w:type="dxa" w:w="2406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Инженера · ГИП</w:t>
            </w:r>
          </w:p>
        </w:tc>
      </w:tr>
      <w:tr>
        <w:trPr>
          <w:cantSplit/>
        </w:trPr>
        <w:tc>
          <w:tcPr>
            <w:tcW w:type="dxa" w:w="1950"/>
            <w:shd w:fill="F0EBE1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УК · логистика</w:t>
            </w:r>
          </w:p>
        </w:tc>
        <w:tc>
          <w:tcPr>
            <w:tcW w:type="dxa" w:w="5850"/>
            <w:shd w:fill="F0EBE1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Категория обращения и проект ответа; карточка рейса, ТО, OEM, претензии, тендеры</w:t>
            </w:r>
          </w:p>
        </w:tc>
        <w:tc>
          <w:tcPr>
            <w:tcW w:type="dxa" w:w="2406"/>
            <w:shd w:fill="F0EBE1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Диспетчера · механика</w:t>
            </w:r>
          </w:p>
        </w:tc>
      </w:tr>
      <w:tr>
        <w:trPr>
          <w:cantSplit/>
        </w:trPr>
        <w:tc>
          <w:tcPr>
            <w:tcW w:type="dxa" w:w="1950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Маркетинг</w:t>
            </w:r>
          </w:p>
        </w:tc>
        <w:tc>
          <w:tcPr>
            <w:tcW w:type="dxa" w:w="5850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Варианты постов, структура презентации, текст страницы и изображения из утверждённых фактов</w:t>
            </w:r>
          </w:p>
        </w:tc>
        <w:tc>
          <w:tcPr>
            <w:tcW w:type="dxa" w:w="2406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0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Команды бренда</w:t>
            </w:r>
          </w:p>
        </w:tc>
      </w:tr>
    </w:tbl>
    <w:tbl>
      <w:tblPr>
        <w:tblW w:type="dxa" w:w="10206"/>
        <w:tblBorders>
          <w:top w:val="none" w:color="E6ECE8" w:sz="0"/>
          <w:left w:val="single" w:color="526B60" w:sz="18"/>
          <w:bottom w:val="none" w:color="E6ECE8" w:sz="0"/>
          <w:right w:val="none" w:color="E6ECE8" w:sz="0"/>
          <w:insideH w:val="none" w:color="E6ECE8" w:sz="0"/>
          <w:insideV w:val="none" w:color="E6ECE8" w:sz="0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shd w:fill="E6ECE8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keepNext w:val="false"/>
              <w:keepLines/>
              <w:spacing w:before="0" w:after="0" w:line="23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8"/>
                <w:szCs w:val="18"/>
              </w:rPr>
              <w:t xml:space="preserve">Рекомендация · для пилота выбрать 1–3 задачи с общей проверяемой ценностью. Целевой эффект согласовать только после замера времени и ошибок; отраслевые проценты не превращать в обещание.</w:t>
            </w:r>
          </w:p>
        </w:tc>
      </w:tr>
    </w:tbl>
    <w:p>
      <w:pPr>
        <w:keepNext w:val="false"/>
        <w:keepLines/>
        <w:pBdr>
          <w:top w:val="single" w:color="D9D4CA" w:sz="6" w:space="5"/>
        </w:pBdr>
        <w:spacing w:before="90" w:after="0" w:line="19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6E706D"/>
          <w:sz w:val="15"/>
          <w:szCs w:val="15"/>
        </w:rPr>
        <w:t xml:space="preserve">Источники · E1 — JTBD и роли; E3 — приоритетные сценарии · все эффекты маркируются как цель пилота</w:t>
      </w:r>
    </w:p>
    <w:p>
      <w:r>
        <w:br w:type="page"/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5613"/>
        <w:gridCol w:w="4592"/>
      </w:tblGrid>
      <w:tr>
        <w:trPr>
          <w:cantSplit/>
        </w:trPr>
        <w:tc>
          <w:tcPr>
            <w:tcW w:type="dxa" w:w="5613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ФОРМАТ 43</w:t>
            </w: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A64B2A"/>
                <w:sz w:val="14"/>
                <w:szCs w:val="14"/>
              </w:rPr>
              <w:t xml:space="preserve">   СНАЧАЛА ФАКТ</w:t>
            </w:r>
          </w:p>
        </w:tc>
        <w:tc>
          <w:tcPr>
            <w:tcW w:type="dxa" w:w="4592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righ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6E706D"/>
                <w:sz w:val="14"/>
                <w:szCs w:val="14"/>
              </w:rPr>
              <w:t xml:space="preserve">КОММЕРЧЕСКОЕ ПРЕДЛОЖЕНИЕ  ·  03</w:t>
            </w:r>
          </w:p>
        </w:tc>
      </w:tr>
    </w:tbl>
    <w:p>
      <w:pPr>
        <w:keepNext/>
        <w:keepLines/>
        <w:spacing w:before="0" w:after="72" w:line="210"/>
        <w:jc w:val="left"/>
      </w:pPr>
      <w:r>
        <w:rPr>
          <w:rFonts w:ascii="Golos Text" w:cs="Golos Text" w:eastAsia="Golos Text" w:hAnsi="Golos Text"/>
          <w:b/>
          <w:bCs/>
          <w:i w:val="false"/>
          <w:iCs w:val="false"/>
          <w:caps w:val="false"/>
          <w:color w:val="A64B2A"/>
          <w:sz w:val="15"/>
          <w:szCs w:val="15"/>
        </w:rPr>
        <w:t xml:space="preserve">АРХИТЕКТУРА БЕЗ ТУМАНА</w:t>
      </w:r>
    </w:p>
    <w:p>
      <w:pPr>
        <w:keepNext/>
        <w:keepLines/>
        <w:spacing w:before="0" w:after="150" w:line="563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45"/>
          <w:szCs w:val="45"/>
        </w:rPr>
        <w:t xml:space="preserve">Не одна «всемогущая» модель, а пять понятных видов работы</w:t>
      </w:r>
    </w:p>
    <w:tbl>
      <w:tblPr>
        <w:tblW w:type="dxa" w:w="10206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5750"/>
        <w:gridCol w:w="4456"/>
      </w:tblGrid>
      <w:tr>
        <w:trPr>
          <w:cantSplit/>
        </w:trPr>
        <w:tc>
          <w:tcPr>
            <w:tcW w:type="dxa" w:w="5750"/>
            <w:tcMar>
              <w:top w:type="dxa" w:w="0"/>
              <w:left w:type="dxa" w:w="0"/>
              <w:bottom w:type="dxa" w:w="0"/>
              <w:right w:type="dxa" w:w="160"/>
            </w:tcMar>
          </w:tcPr>
          <w:tbl>
            <w:tblPr>
              <w:tblW w:type="dxa" w:w="5750"/>
              <w:tblBorders>
                <w:top w:val="single" w:color="B28A52" w:sz="10"/>
                <w:left w:val="none" w:color="FCFAF5" w:sz="0"/>
                <w:bottom w:val="single" w:color="D9D4CA" w:sz="5"/>
                <w:right w:val="none" w:color="FCFAF5" w:sz="0"/>
                <w:insideH w:val="single" w:color="D9D4CA" w:sz="5"/>
                <w:insideV w:val="none" w:color="FCFAF5" w:sz="0"/>
              </w:tblBorders>
              <w:tblLayout w:type="fixed"/>
            </w:tblPr>
            <w:tblGrid>
              <w:gridCol w:w="2200"/>
              <w:gridCol w:w="3550"/>
            </w:tblGrid>
            <w:tr>
              <w:trPr>
                <w:cantSplit/>
              </w:trPr>
              <w:tc>
                <w:tcPr>
                  <w:tcW w:type="dxa" w:w="2200"/>
                  <w:shd w:fill="1F2423" w:val="clear"/>
                  <w:tcMar>
                    <w:top w:type="dxa" w:w="58"/>
                    <w:left w:type="dxa" w:w="95"/>
                    <w:bottom w:type="dxa" w:w="58"/>
                    <w:right w:type="dxa" w:w="95"/>
                  </w:tcMar>
                  <w:vAlign w:val="center"/>
                </w:tcPr>
                <w:p>
                  <w:pPr>
                    <w:keepNext w:val="false"/>
                    <w:keepLines/>
                    <w:spacing w:before="0" w:after="0" w:line="205"/>
                    <w:jc w:val="left"/>
                  </w:pPr>
                  <w:r>
                    <w:rPr>
                      <w:rFonts w:ascii="Golos Text" w:cs="Golos Text" w:eastAsia="Golos Text" w:hAnsi="Golos Text"/>
                      <w:b/>
                      <w:bCs/>
                      <w:i w:val="false"/>
                      <w:iCs w:val="false"/>
                      <w:caps w:val="false"/>
                      <w:color w:val="FCFAF5"/>
                      <w:sz w:val="16"/>
                      <w:szCs w:val="16"/>
                    </w:rPr>
                    <w:t xml:space="preserve">Инструмент</w:t>
                  </w:r>
                </w:p>
              </w:tc>
              <w:tc>
                <w:tcPr>
                  <w:tcW w:type="dxa" w:w="3550"/>
                  <w:shd w:fill="1F2423" w:val="clear"/>
                  <w:tcMar>
                    <w:top w:type="dxa" w:w="58"/>
                    <w:left w:type="dxa" w:w="95"/>
                    <w:bottom w:type="dxa" w:w="58"/>
                    <w:right w:type="dxa" w:w="95"/>
                  </w:tcMar>
                  <w:vAlign w:val="center"/>
                </w:tcPr>
                <w:p>
                  <w:pPr>
                    <w:keepNext w:val="false"/>
                    <w:keepLines/>
                    <w:spacing w:before="0" w:after="0" w:line="205"/>
                    <w:jc w:val="left"/>
                  </w:pPr>
                  <w:r>
                    <w:rPr>
                      <w:rFonts w:ascii="Golos Text" w:cs="Golos Text" w:eastAsia="Golos Text" w:hAnsi="Golos Text"/>
                      <w:b/>
                      <w:bCs/>
                      <w:i w:val="false"/>
                      <w:iCs w:val="false"/>
                      <w:caps w:val="false"/>
                      <w:color w:val="FCFAF5"/>
                      <w:sz w:val="16"/>
                      <w:szCs w:val="16"/>
                    </w:rPr>
                    <w:t xml:space="preserve">Работа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200"/>
                  <w:shd w:fill="FCFAF5" w:val="clear"/>
                  <w:tcMar>
                    <w:top w:type="dxa" w:w="58"/>
                    <w:left w:type="dxa" w:w="95"/>
                    <w:bottom w:type="dxa" w:w="58"/>
                    <w:right w:type="dxa" w:w="95"/>
                  </w:tcMar>
                  <w:vAlign w:val="center"/>
                </w:tcPr>
                <w:p>
                  <w:pPr>
                    <w:keepNext w:val="false"/>
                    <w:keepLines/>
                    <w:spacing w:before="0" w:after="0" w:line="205"/>
                    <w:jc w:val="left"/>
                  </w:pPr>
                  <w:r>
                    <w:rPr>
                      <w:rFonts w:ascii="Golos Text" w:cs="Golos Text" w:eastAsia="Golos Text" w:hAnsi="Golos Text"/>
                      <w:b w:val="false"/>
                      <w:bCs w:val="false"/>
                      <w:i w:val="false"/>
                      <w:iCs w:val="false"/>
                      <w:caps w:val="false"/>
                      <w:color w:val="1F2423"/>
                      <w:sz w:val="16"/>
                      <w:szCs w:val="16"/>
                    </w:rPr>
                    <w:t xml:space="preserve">Qwen</w:t>
                  </w:r>
                </w:p>
              </w:tc>
              <w:tc>
                <w:tcPr>
                  <w:tcW w:type="dxa" w:w="3550"/>
                  <w:shd w:fill="FCFAF5" w:val="clear"/>
                  <w:tcMar>
                    <w:top w:type="dxa" w:w="58"/>
                    <w:left w:type="dxa" w:w="95"/>
                    <w:bottom w:type="dxa" w:w="58"/>
                    <w:right w:type="dxa" w:w="95"/>
                  </w:tcMar>
                  <w:vAlign w:val="center"/>
                </w:tcPr>
                <w:p>
                  <w:pPr>
                    <w:keepNext w:val="false"/>
                    <w:keepLines/>
                    <w:spacing w:before="0" w:after="0" w:line="205"/>
                    <w:jc w:val="left"/>
                  </w:pPr>
                  <w:r>
                    <w:rPr>
                      <w:rFonts w:ascii="Golos Text" w:cs="Golos Text" w:eastAsia="Golos Text" w:hAnsi="Golos Text"/>
                      <w:b w:val="false"/>
                      <w:bCs w:val="false"/>
                      <w:i w:val="false"/>
                      <w:iCs w:val="false"/>
                      <w:caps w:val="false"/>
                      <w:color w:val="1F2423"/>
                      <w:sz w:val="16"/>
                      <w:szCs w:val="16"/>
                    </w:rPr>
                    <w:t xml:space="preserve">Текст, вопросы, сравнение и объяснение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200"/>
                  <w:shd w:fill="F0EBE1" w:val="clear"/>
                  <w:tcMar>
                    <w:top w:type="dxa" w:w="58"/>
                    <w:left w:type="dxa" w:w="95"/>
                    <w:bottom w:type="dxa" w:w="58"/>
                    <w:right w:type="dxa" w:w="95"/>
                  </w:tcMar>
                  <w:vAlign w:val="center"/>
                </w:tcPr>
                <w:p>
                  <w:pPr>
                    <w:keepNext w:val="false"/>
                    <w:keepLines/>
                    <w:spacing w:before="0" w:after="0" w:line="205"/>
                    <w:jc w:val="left"/>
                  </w:pPr>
                  <w:r>
                    <w:rPr>
                      <w:rFonts w:ascii="Golos Text" w:cs="Golos Text" w:eastAsia="Golos Text" w:hAnsi="Golos Text"/>
                      <w:b w:val="false"/>
                      <w:bCs w:val="false"/>
                      <w:i w:val="false"/>
                      <w:iCs w:val="false"/>
                      <w:caps w:val="false"/>
                      <w:color w:val="1F2423"/>
                      <w:sz w:val="16"/>
                      <w:szCs w:val="16"/>
                    </w:rPr>
                    <w:t xml:space="preserve">OCR</w:t>
                  </w:r>
                </w:p>
              </w:tc>
              <w:tc>
                <w:tcPr>
                  <w:tcW w:type="dxa" w:w="3550"/>
                  <w:shd w:fill="F0EBE1" w:val="clear"/>
                  <w:tcMar>
                    <w:top w:type="dxa" w:w="58"/>
                    <w:left w:type="dxa" w:w="95"/>
                    <w:bottom w:type="dxa" w:w="58"/>
                    <w:right w:type="dxa" w:w="95"/>
                  </w:tcMar>
                  <w:vAlign w:val="center"/>
                </w:tcPr>
                <w:p>
                  <w:pPr>
                    <w:keepNext w:val="false"/>
                    <w:keepLines/>
                    <w:spacing w:before="0" w:after="0" w:line="205"/>
                    <w:jc w:val="left"/>
                  </w:pPr>
                  <w:r>
                    <w:rPr>
                      <w:rFonts w:ascii="Golos Text" w:cs="Golos Text" w:eastAsia="Golos Text" w:hAnsi="Golos Text"/>
                      <w:b w:val="false"/>
                      <w:bCs w:val="false"/>
                      <w:i w:val="false"/>
                      <w:iCs w:val="false"/>
                      <w:caps w:val="false"/>
                      <w:color w:val="1F2423"/>
                      <w:sz w:val="16"/>
                      <w:szCs w:val="16"/>
                    </w:rPr>
                    <w:t xml:space="preserve">Сканы, таблицы и документы плохого качества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200"/>
                  <w:shd w:fill="FCFAF5" w:val="clear"/>
                  <w:tcMar>
                    <w:top w:type="dxa" w:w="58"/>
                    <w:left w:type="dxa" w:w="95"/>
                    <w:bottom w:type="dxa" w:w="58"/>
                    <w:right w:type="dxa" w:w="95"/>
                  </w:tcMar>
                  <w:vAlign w:val="center"/>
                </w:tcPr>
                <w:p>
                  <w:pPr>
                    <w:keepNext w:val="false"/>
                    <w:keepLines/>
                    <w:spacing w:before="0" w:after="0" w:line="205"/>
                    <w:jc w:val="left"/>
                  </w:pPr>
                  <w:r>
                    <w:rPr>
                      <w:rFonts w:ascii="Golos Text" w:cs="Golos Text" w:eastAsia="Golos Text" w:hAnsi="Golos Text"/>
                      <w:b w:val="false"/>
                      <w:bCs w:val="false"/>
                      <w:i w:val="false"/>
                      <w:iCs w:val="false"/>
                      <w:caps w:val="false"/>
                      <w:color w:val="1F2423"/>
                      <w:sz w:val="16"/>
                      <w:szCs w:val="16"/>
                    </w:rPr>
                    <w:t xml:space="preserve">Речевая модель</w:t>
                  </w:r>
                </w:p>
              </w:tc>
              <w:tc>
                <w:tcPr>
                  <w:tcW w:type="dxa" w:w="3550"/>
                  <w:shd w:fill="FCFAF5" w:val="clear"/>
                  <w:tcMar>
                    <w:top w:type="dxa" w:w="58"/>
                    <w:left w:type="dxa" w:w="95"/>
                    <w:bottom w:type="dxa" w:w="58"/>
                    <w:right w:type="dxa" w:w="95"/>
                  </w:tcMar>
                  <w:vAlign w:val="center"/>
                </w:tcPr>
                <w:p>
                  <w:pPr>
                    <w:keepNext w:val="false"/>
                    <w:keepLines/>
                    <w:spacing w:before="0" w:after="0" w:line="205"/>
                    <w:jc w:val="left"/>
                  </w:pPr>
                  <w:r>
                    <w:rPr>
                      <w:rFonts w:ascii="Golos Text" w:cs="Golos Text" w:eastAsia="Golos Text" w:hAnsi="Golos Text"/>
                      <w:b w:val="false"/>
                      <w:bCs w:val="false"/>
                      <w:i w:val="false"/>
                      <w:iCs w:val="false"/>
                      <w:caps w:val="false"/>
                      <w:color w:val="1F2423"/>
                      <w:sz w:val="16"/>
                      <w:szCs w:val="16"/>
                    </w:rPr>
                    <w:t xml:space="preserve">Расшифровка встречи или звонка и проект протокола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200"/>
                  <w:shd w:fill="F0EBE1" w:val="clear"/>
                  <w:tcMar>
                    <w:top w:type="dxa" w:w="58"/>
                    <w:left w:type="dxa" w:w="95"/>
                    <w:bottom w:type="dxa" w:w="58"/>
                    <w:right w:type="dxa" w:w="95"/>
                  </w:tcMar>
                  <w:vAlign w:val="center"/>
                </w:tcPr>
                <w:p>
                  <w:pPr>
                    <w:keepNext w:val="false"/>
                    <w:keepLines/>
                    <w:spacing w:before="0" w:after="0" w:line="205"/>
                    <w:jc w:val="left"/>
                  </w:pPr>
                  <w:r>
                    <w:rPr>
                      <w:rFonts w:ascii="Golos Text" w:cs="Golos Text" w:eastAsia="Golos Text" w:hAnsi="Golos Text"/>
                      <w:b w:val="false"/>
                      <w:bCs w:val="false"/>
                      <w:i w:val="false"/>
                      <w:iCs w:val="false"/>
                      <w:caps w:val="false"/>
                      <w:color w:val="1F2423"/>
                      <w:sz w:val="16"/>
                      <w:szCs w:val="16"/>
                    </w:rPr>
                    <w:t xml:space="preserve">Визуальная модель</w:t>
                  </w:r>
                </w:p>
              </w:tc>
              <w:tc>
                <w:tcPr>
                  <w:tcW w:type="dxa" w:w="3550"/>
                  <w:shd w:fill="F0EBE1" w:val="clear"/>
                  <w:tcMar>
                    <w:top w:type="dxa" w:w="58"/>
                    <w:left w:type="dxa" w:w="95"/>
                    <w:bottom w:type="dxa" w:w="58"/>
                    <w:right w:type="dxa" w:w="95"/>
                  </w:tcMar>
                  <w:vAlign w:val="center"/>
                </w:tcPr>
                <w:p>
                  <w:pPr>
                    <w:keepNext w:val="false"/>
                    <w:keepLines/>
                    <w:spacing w:before="0" w:after="0" w:line="205"/>
                    <w:jc w:val="left"/>
                  </w:pPr>
                  <w:r>
                    <w:rPr>
                      <w:rFonts w:ascii="Golos Text" w:cs="Golos Text" w:eastAsia="Golos Text" w:hAnsi="Golos Text"/>
                      <w:b w:val="false"/>
                      <w:bCs w:val="false"/>
                      <w:i w:val="false"/>
                      <w:iCs w:val="false"/>
                      <w:caps w:val="false"/>
                      <w:color w:val="1F2423"/>
                      <w:sz w:val="16"/>
                      <w:szCs w:val="16"/>
                    </w:rPr>
                    <w:t xml:space="preserve">Фото, шильдики и чертежи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200"/>
                  <w:shd w:fill="FCFAF5" w:val="clear"/>
                  <w:tcMar>
                    <w:top w:type="dxa" w:w="58"/>
                    <w:left w:type="dxa" w:w="95"/>
                    <w:bottom w:type="dxa" w:w="58"/>
                    <w:right w:type="dxa" w:w="95"/>
                  </w:tcMar>
                  <w:vAlign w:val="center"/>
                </w:tcPr>
                <w:p>
                  <w:pPr>
                    <w:keepNext w:val="false"/>
                    <w:keepLines/>
                    <w:spacing w:before="0" w:after="0" w:line="205"/>
                    <w:jc w:val="left"/>
                  </w:pPr>
                  <w:r>
                    <w:rPr>
                      <w:rFonts w:ascii="Golos Text" w:cs="Golos Text" w:eastAsia="Golos Text" w:hAnsi="Golos Text"/>
                      <w:b w:val="false"/>
                      <w:bCs w:val="false"/>
                      <w:i w:val="false"/>
                      <w:iCs w:val="false"/>
                      <w:caps w:val="false"/>
                      <w:color w:val="1F2423"/>
                      <w:sz w:val="16"/>
                      <w:szCs w:val="16"/>
                    </w:rPr>
                    <w:t xml:space="preserve">Генератор изображений</w:t>
                  </w:r>
                </w:p>
              </w:tc>
              <w:tc>
                <w:tcPr>
                  <w:tcW w:type="dxa" w:w="3550"/>
                  <w:shd w:fill="FCFAF5" w:val="clear"/>
                  <w:tcMar>
                    <w:top w:type="dxa" w:w="58"/>
                    <w:left w:type="dxa" w:w="95"/>
                    <w:bottom w:type="dxa" w:w="58"/>
                    <w:right w:type="dxa" w:w="95"/>
                  </w:tcMar>
                  <w:vAlign w:val="center"/>
                </w:tcPr>
                <w:p>
                  <w:pPr>
                    <w:keepNext w:val="false"/>
                    <w:keepLines/>
                    <w:spacing w:before="0" w:after="0" w:line="205"/>
                    <w:jc w:val="left"/>
                  </w:pPr>
                  <w:r>
                    <w:rPr>
                      <w:rFonts w:ascii="Golos Text" w:cs="Golos Text" w:eastAsia="Golos Text" w:hAnsi="Golos Text"/>
                      <w:b w:val="false"/>
                      <w:bCs w:val="false"/>
                      <w:i w:val="false"/>
                      <w:iCs w:val="false"/>
                      <w:caps w:val="false"/>
                      <w:color w:val="1F2423"/>
                      <w:sz w:val="16"/>
                      <w:szCs w:val="16"/>
                    </w:rPr>
                    <w:t xml:space="preserve">Маркетинговые варианты; не доказательство инженерного или юридического факта</w:t>
                  </w:r>
                </w:p>
              </w:tc>
            </w:tr>
          </w:tbl>
          <w:p/>
        </w:tc>
        <w:tc>
          <w:tcPr>
            <w:tcW w:type="dxa" w:w="4456"/>
            <w:tcMar>
              <w:top w:type="dxa" w:w="0"/>
              <w:left w:type="dxa" w:w="160"/>
              <w:bottom w:type="dxa" w:w="0"/>
              <w:right w:type="dxa" w:w="0"/>
            </w:tcMar>
          </w:tcPr>
          <w:p>
            <w:pPr>
              <w:spacing w:line="2445" w:after="25"/>
              <w:jc w:val="center"/>
            </w:pPr>
            <w:r>
              <w:drawing>
                <wp:inline distT="0" distB="0" distL="0" distR="0">
                  <wp:extent cx="2762250" cy="1552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keepLines/>
              <w:spacing w:before="0" w:after="70" w:line="190"/>
              <w:jc w:val="center"/>
            </w:pPr>
            <w:r>
              <w:rPr>
                <w:rFonts w:ascii="Golos Text" w:cs="Golos Text" w:eastAsia="Golos Text" w:hAnsi="Golos Text"/>
                <w:b w:val="false"/>
                <w:bCs w:val="false"/>
                <w:i/>
                <w:iCs/>
                <w:caps w:val="false"/>
                <w:color w:val="6E706D"/>
                <w:sz w:val="15"/>
                <w:szCs w:val="15"/>
              </w:rPr>
              <w:t xml:space="preserve">Визуализация концепции</w:t>
            </w:r>
          </w:p>
        </w:tc>
      </w:tr>
    </w:tbl>
    <w:p>
      <w:pPr>
        <w:keepNext w:val="false"/>
        <w:keepLines/>
        <w:spacing w:before="0" w:after="92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Сотрудник видит один интерфейс. Под ним система проверяет пользователя, открывает только разрешённые источники, сохраняет ссылку на документ и отделяет черновик от действия.</w:t>
      </w:r>
    </w:p>
    <w:p>
      <w:pPr>
        <w:keepNext w:val="false"/>
        <w:keepLines/>
        <w:spacing w:before="0" w:after="92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По умолчанию помощник читает и готовит. Перед изменением в рабочей системе человек видит будущий результат и подтверждает его; прямых полномочий на платёж, подпись, кадровое решение, инженерный допуск, управление техникой или публикацию модель не получает.</w:t>
      </w:r>
    </w:p>
    <w:tbl>
      <w:tblPr>
        <w:tblW w:type="dxa" w:w="10206"/>
        <w:tblBorders>
          <w:top w:val="none" w:color="F3E5DF" w:sz="0"/>
          <w:left w:val="single" w:color="A64B2A" w:sz="18"/>
          <w:bottom w:val="none" w:color="F3E5DF" w:sz="0"/>
          <w:right w:val="none" w:color="F3E5DF" w:sz="0"/>
          <w:insideH w:val="none" w:color="F3E5DF" w:sz="0"/>
          <w:insideV w:val="none" w:color="F3E5DF" w:sz="0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shd w:fill="F3E5DF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keepNext w:val="false"/>
              <w:keepLines/>
              <w:spacing w:before="0" w:after="0" w:line="23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8"/>
                <w:szCs w:val="18"/>
              </w:rPr>
              <w:t xml:space="preserve">Факт · локальное размещение может сократить передачу данных третьим лицам, но само по себе не означает соблюдение 152-ФЗ. Нужны цели и основания обработки, карта данных, права, сроки, меры, документы и процедуры заказчика.</w:t>
            </w:r>
          </w:p>
        </w:tc>
      </w:tr>
    </w:tbl>
    <w:p>
      <w:pPr>
        <w:keepNext w:val="false"/>
        <w:keepLines/>
        <w:pBdr>
          <w:top w:val="single" w:color="D9D4CA" w:sz="6" w:space="5"/>
        </w:pBdr>
        <w:spacing w:before="90" w:after="0" w:line="19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6E706D"/>
          <w:sz w:val="15"/>
          <w:szCs w:val="15"/>
        </w:rPr>
        <w:t xml:space="preserve">Источники · E2 — правовые и технические контроли; E4 — классы моделей · изображение является визуализацией</w:t>
      </w:r>
    </w:p>
    <w:p>
      <w:r>
        <w:br w:type="page"/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5613"/>
        <w:gridCol w:w="4592"/>
      </w:tblGrid>
      <w:tr>
        <w:trPr>
          <w:cantSplit/>
        </w:trPr>
        <w:tc>
          <w:tcPr>
            <w:tcW w:type="dxa" w:w="5613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ФОРМАТ 43</w:t>
            </w: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A64B2A"/>
                <w:sz w:val="14"/>
                <w:szCs w:val="14"/>
              </w:rPr>
              <w:t xml:space="preserve">   СНАЧАЛА ФАКТ</w:t>
            </w:r>
          </w:p>
        </w:tc>
        <w:tc>
          <w:tcPr>
            <w:tcW w:type="dxa" w:w="4592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righ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6E706D"/>
                <w:sz w:val="14"/>
                <w:szCs w:val="14"/>
              </w:rPr>
              <w:t xml:space="preserve">КОММЕРЧЕСКОЕ ПРЕДЛОЖЕНИЕ  ·  04</w:t>
            </w:r>
          </w:p>
        </w:tc>
      </w:tr>
    </w:tbl>
    <w:p>
      <w:pPr>
        <w:keepNext/>
        <w:keepLines/>
        <w:spacing w:before="0" w:after="72" w:line="210"/>
        <w:jc w:val="left"/>
      </w:pPr>
      <w:r>
        <w:rPr>
          <w:rFonts w:ascii="Golos Text" w:cs="Golos Text" w:eastAsia="Golos Text" w:hAnsi="Golos Text"/>
          <w:b/>
          <w:bCs/>
          <w:i w:val="false"/>
          <w:iCs w:val="false"/>
          <w:caps w:val="false"/>
          <w:color w:val="A64B2A"/>
          <w:sz w:val="15"/>
          <w:szCs w:val="15"/>
        </w:rPr>
        <w:t xml:space="preserve">ПИЛОТ ДО ПОКУПКИ</w:t>
      </w:r>
    </w:p>
    <w:p>
      <w:pPr>
        <w:keepNext/>
        <w:keepLines/>
        <w:spacing w:before="0" w:after="150" w:line="575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46"/>
          <w:szCs w:val="46"/>
        </w:rPr>
        <w:t xml:space="preserve">Сначала исходная цифра. Потом — решение об оборудовании</w:t>
      </w:r>
    </w:p>
    <w:p>
      <w:pPr>
        <w:keepNext w:val="false"/>
        <w:keepLines/>
        <w:spacing w:before="0" w:after="92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Для выбранного процесса фиксируем измеримую исходную точку и заранее определяем, кто вправе подтвердить результат.</w:t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2600"/>
        <w:gridCol w:w="7606"/>
      </w:tblGrid>
      <w:tr>
        <w:trPr>
          <w:cantSplit/>
        </w:trPr>
        <w:tc>
          <w:tcPr>
            <w:tcW w:type="dxa" w:w="2600"/>
            <w:shd w:fill="1F2423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7"/>
                <w:szCs w:val="17"/>
              </w:rPr>
              <w:t xml:space="preserve">Что фиксируем</w:t>
            </w:r>
          </w:p>
        </w:tc>
        <w:tc>
          <w:tcPr>
            <w:tcW w:type="dxa" w:w="7606"/>
            <w:shd w:fill="1F2423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7"/>
                <w:szCs w:val="17"/>
              </w:rPr>
              <w:t xml:space="preserve">Как проверяем</w:t>
            </w:r>
          </w:p>
        </w:tc>
      </w:tr>
      <w:tr>
        <w:trPr>
          <w:cantSplit/>
        </w:trPr>
        <w:tc>
          <w:tcPr>
            <w:tcW w:type="dxa" w:w="2600"/>
            <w:shd w:fill="FCFAF5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1 · Объём</w:t>
            </w:r>
          </w:p>
        </w:tc>
        <w:tc>
          <w:tcPr>
            <w:tcW w:type="dxa" w:w="7606"/>
            <w:shd w:fill="FCFAF5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Сколько случаев проходит за неделю или месяц</w:t>
            </w:r>
          </w:p>
        </w:tc>
      </w:tr>
      <w:tr>
        <w:trPr>
          <w:cantSplit/>
        </w:trPr>
        <w:tc>
          <w:tcPr>
            <w:tcW w:type="dxa" w:w="2600"/>
            <w:shd w:fill="F0EBE1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2 · Время</w:t>
            </w:r>
          </w:p>
        </w:tc>
        <w:tc>
          <w:tcPr>
            <w:tcW w:type="dxa" w:w="7606"/>
            <w:shd w:fill="F0EBE1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Сколько минут специалист тратит на один случай</w:t>
            </w:r>
          </w:p>
        </w:tc>
      </w:tr>
      <w:tr>
        <w:trPr>
          <w:cantSplit/>
        </w:trPr>
        <w:tc>
          <w:tcPr>
            <w:tcW w:type="dxa" w:w="2600"/>
            <w:shd w:fill="FCFAF5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3 · Ошибки</w:t>
            </w:r>
          </w:p>
        </w:tc>
        <w:tc>
          <w:tcPr>
            <w:tcW w:type="dxa" w:w="7606"/>
            <w:shd w:fill="FCFAF5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Возвраты и дефекты текущего процесса</w:t>
            </w:r>
          </w:p>
        </w:tc>
      </w:tr>
      <w:tr>
        <w:trPr>
          <w:cantSplit/>
        </w:trPr>
        <w:tc>
          <w:tcPr>
            <w:tcW w:type="dxa" w:w="2600"/>
            <w:shd w:fill="F0EBE1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4 · Проверка AI</w:t>
            </w:r>
          </w:p>
        </w:tc>
        <w:tc>
          <w:tcPr>
            <w:tcW w:type="dxa" w:w="7606"/>
            <w:shd w:fill="F0EBE1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Сколько времени остаётся на проверку результата</w:t>
            </w:r>
          </w:p>
        </w:tc>
      </w:tr>
      <w:tr>
        <w:trPr>
          <w:cantSplit/>
        </w:trPr>
        <w:tc>
          <w:tcPr>
            <w:tcW w:type="dxa" w:w="2600"/>
            <w:shd w:fill="FCFAF5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5 · Приёмка</w:t>
            </w:r>
          </w:p>
        </w:tc>
        <w:tc>
          <w:tcPr>
            <w:tcW w:type="dxa" w:w="7606"/>
            <w:shd w:fill="FCFAF5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Какие ответы приняты, исправлены или отклонены</w:t>
            </w:r>
          </w:p>
        </w:tc>
      </w:tr>
      <w:tr>
        <w:trPr>
          <w:cantSplit/>
        </w:trPr>
        <w:tc>
          <w:tcPr>
            <w:tcW w:type="dxa" w:w="2600"/>
            <w:shd w:fill="F0EBE1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6 · Контроли</w:t>
            </w:r>
          </w:p>
        </w:tc>
        <w:tc>
          <w:tcPr>
            <w:tcW w:type="dxa" w:w="7606"/>
            <w:shd w:fill="F0EBE1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Нарушения прав, выдуманные ссылки, пропущенные поля</w:t>
            </w:r>
          </w:p>
        </w:tc>
      </w:tr>
      <w:tr>
        <w:trPr>
          <w:cantSplit/>
        </w:trPr>
        <w:tc>
          <w:tcPr>
            <w:tcW w:type="dxa" w:w="2600"/>
            <w:shd w:fill="FCFAF5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7 · Экономика</w:t>
            </w:r>
          </w:p>
        </w:tc>
        <w:tc>
          <w:tcPr>
            <w:tcW w:type="dxa" w:w="7606"/>
            <w:shd w:fill="FCFAF5" w:val="clear"/>
            <w:tcMar>
              <w:top w:type="dxa" w:w="58"/>
              <w:left w:type="dxa" w:w="95"/>
              <w:bottom w:type="dxa" w:w="58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Стоимость одного успешно завершённого случая</w:t>
            </w:r>
          </w:p>
        </w:tc>
      </w:tr>
    </w:tbl>
    <w:p>
      <w:pPr>
        <w:keepNext w:val="false"/>
        <w:keepLines/>
        <w:spacing w:before="0" w:after="92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Выборка содержит реальные, но обезличенные или отдельно разрешённые примеры. Для каждого заранее известны ожидаемый результат и сотрудник, который может его подтвердить.</w:t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2500"/>
        <w:gridCol w:w="7706"/>
      </w:tblGrid>
      <w:tr>
        <w:trPr>
          <w:cantSplit/>
        </w:trPr>
        <w:tc>
          <w:tcPr>
            <w:tcW w:type="dxa" w:w="2500"/>
            <w:shd w:fill="1F2423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6"/>
                <w:szCs w:val="16"/>
              </w:rPr>
              <w:t xml:space="preserve">Параметр</w:t>
            </w:r>
          </w:p>
        </w:tc>
        <w:tc>
          <w:tcPr>
            <w:tcW w:type="dxa" w:w="7706"/>
            <w:shd w:fill="1F2423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6"/>
                <w:szCs w:val="16"/>
              </w:rPr>
              <w:t xml:space="preserve">Рабочая рекомендация</w:t>
            </w:r>
          </w:p>
        </w:tc>
      </w:tr>
      <w:tr>
        <w:trPr>
          <w:cantSplit/>
        </w:trPr>
        <w:tc>
          <w:tcPr>
            <w:tcW w:type="dxa" w:w="2500"/>
            <w:shd w:fill="FCFAF5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Выборка</w:t>
            </w:r>
          </w:p>
        </w:tc>
        <w:tc>
          <w:tcPr>
            <w:tcW w:type="dxa" w:w="7706"/>
            <w:shd w:fill="FCFAF5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50–200 примеров на сценарий</w:t>
            </w:r>
          </w:p>
        </w:tc>
      </w:tr>
      <w:tr>
        <w:trPr>
          <w:cantSplit/>
        </w:trPr>
        <w:tc>
          <w:tcPr>
            <w:tcW w:type="dxa" w:w="2500"/>
            <w:shd w:fill="F0EBE1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Ценность</w:t>
            </w:r>
          </w:p>
        </w:tc>
        <w:tc>
          <w:tcPr>
            <w:tcW w:type="dxa" w:w="7706"/>
            <w:shd w:fill="F0EBE1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2–4 недели на качество и пользу</w:t>
            </w:r>
          </w:p>
        </w:tc>
      </w:tr>
      <w:tr>
        <w:trPr>
          <w:cantSplit/>
        </w:trPr>
        <w:tc>
          <w:tcPr>
            <w:tcW w:type="dxa" w:w="2500"/>
            <w:shd w:fill="FCFAF5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Нагрузка</w:t>
            </w:r>
          </w:p>
        </w:tc>
        <w:tc>
          <w:tcPr>
            <w:tcW w:type="dxa" w:w="7706"/>
            <w:shd w:fill="FCFAF5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До 6–8 недель перед закупкой</w:t>
            </w:r>
          </w:p>
        </w:tc>
      </w:tr>
      <w:tr>
        <w:trPr>
          <w:cantSplit/>
        </w:trPr>
        <w:tc>
          <w:tcPr>
            <w:tcW w:type="dxa" w:w="2500"/>
            <w:shd w:fill="F0EBE1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Метрики</w:t>
            </w:r>
          </w:p>
        </w:tc>
        <w:tc>
          <w:tcPr>
            <w:tcW w:type="dxa" w:w="7706"/>
            <w:shd w:fill="F0EBE1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Время, качество и риск — согласуются на диагностике</w:t>
            </w:r>
          </w:p>
        </w:tc>
      </w:tr>
    </w:tbl>
    <w:tbl>
      <w:tblPr>
        <w:tblW w:type="dxa" w:w="10206"/>
        <w:tblBorders>
          <w:top w:val="none" w:color="F3E5DF" w:sz="0"/>
          <w:left w:val="single" w:color="A64B2A" w:sz="18"/>
          <w:bottom w:val="none" w:color="F3E5DF" w:sz="0"/>
          <w:right w:val="none" w:color="F3E5DF" w:sz="0"/>
          <w:insideH w:val="none" w:color="F3E5DF" w:sz="0"/>
          <w:insideV w:val="none" w:color="F3E5DF" w:sz="0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shd w:fill="F3E5DF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keepNext w:val="false"/>
              <w:keepLines/>
              <w:spacing w:before="0" w:after="0" w:line="23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18"/>
                <w:szCs w:val="18"/>
              </w:rPr>
              <w:t xml:space="preserve">Условие остановки · обязательная проверка человеком не экономит время; качество ниже согласованного уровня; найден критический дефект доступа или безопасности.</w:t>
            </w:r>
          </w:p>
        </w:tc>
      </w:tr>
    </w:tbl>
    <w:p>
      <w:pPr>
        <w:keepNext w:val="false"/>
        <w:keepLines/>
        <w:spacing w:before="70" w:after="0" w:line="250"/>
        <w:jc w:val="left"/>
      </w:pPr>
      <w:r>
        <w:rPr>
          <w:rFonts w:ascii="Golos Text" w:cs="Golos Text" w:eastAsia="Golos Text" w:hAnsi="Golos Text"/>
          <w:b/>
          <w:bCs/>
          <w:i w:val="false"/>
          <w:iCs w:val="false"/>
          <w:caps w:val="false"/>
          <w:color w:val="1F2423"/>
          <w:sz w:val="20"/>
          <w:szCs w:val="20"/>
        </w:rPr>
        <w:t xml:space="preserve">Итог пилота — подписанное решение: остановиться, доработать сценарий, остаться в облаке или перейти в локальный режим.</w:t>
      </w:r>
    </w:p>
    <w:p>
      <w:pPr>
        <w:keepNext w:val="false"/>
        <w:keepLines/>
        <w:pBdr>
          <w:top w:val="single" w:color="D9D4CA" w:sz="6" w:space="5"/>
        </w:pBdr>
        <w:spacing w:before="90" w:after="0" w:line="19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6E706D"/>
          <w:sz w:val="15"/>
          <w:szCs w:val="15"/>
        </w:rPr>
        <w:t xml:space="preserve">Источники · E3 — дизайн проверочной выборки; E1 — критерии решения и stop condition</w:t>
      </w:r>
    </w:p>
    <w:p>
      <w:r>
        <w:br w:type="page"/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5613"/>
        <w:gridCol w:w="4592"/>
      </w:tblGrid>
      <w:tr>
        <w:trPr>
          <w:cantSplit/>
        </w:trPr>
        <w:tc>
          <w:tcPr>
            <w:tcW w:type="dxa" w:w="5613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ФОРМАТ 43</w:t>
            </w: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A64B2A"/>
                <w:sz w:val="14"/>
                <w:szCs w:val="14"/>
              </w:rPr>
              <w:t xml:space="preserve">   СНАЧАЛА ФАКТ</w:t>
            </w:r>
          </w:p>
        </w:tc>
        <w:tc>
          <w:tcPr>
            <w:tcW w:type="dxa" w:w="4592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righ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6E706D"/>
                <w:sz w:val="14"/>
                <w:szCs w:val="14"/>
              </w:rPr>
              <w:t xml:space="preserve">КОММЕРЧЕСКОЕ ПРЕДЛОЖЕНИЕ  ·  05</w:t>
            </w:r>
          </w:p>
        </w:tc>
      </w:tr>
    </w:tbl>
    <w:p>
      <w:pPr>
        <w:keepNext/>
        <w:keepLines/>
        <w:spacing w:before="0" w:after="72" w:line="210"/>
        <w:jc w:val="left"/>
      </w:pPr>
      <w:r>
        <w:rPr>
          <w:rFonts w:ascii="Golos Text" w:cs="Golos Text" w:eastAsia="Golos Text" w:hAnsi="Golos Text"/>
          <w:b/>
          <w:bCs/>
          <w:i w:val="false"/>
          <w:iCs w:val="false"/>
          <w:caps w:val="false"/>
          <w:color w:val="A64B2A"/>
          <w:sz w:val="15"/>
          <w:szCs w:val="15"/>
        </w:rPr>
        <w:t xml:space="preserve">КОММЕРЧЕСКАЯ РАМКА</w:t>
      </w:r>
    </w:p>
    <w:p>
      <w:pPr>
        <w:keepNext/>
        <w:keepLines/>
        <w:spacing w:before="0" w:after="150" w:line="575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46"/>
          <w:szCs w:val="46"/>
        </w:rPr>
        <w:t xml:space="preserve">Четыре способа начать — после диагностики</w:t>
      </w:r>
    </w:p>
    <w:p>
      <w:pPr>
        <w:keepNext w:val="false"/>
        <w:keepLines/>
        <w:spacing w:before="0" w:after="92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Диапазоны ниже — коммерческие гипотезы v1, не публичный прайс и не оферта. Финальная сумма зависит от обследования, состава оборудования, лицензий, налогов, интеграций и SLA.</w:t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single" w:color="D9D4CA" w:sz="5"/>
        </w:tblBorders>
        <w:tblLayout w:type="fixed"/>
      </w:tblPr>
      <w:tblGrid>
        <w:gridCol w:w="1600"/>
        <w:gridCol w:w="2050"/>
        <w:gridCol w:w="3150"/>
        <w:gridCol w:w="3406"/>
      </w:tblGrid>
      <w:tr>
        <w:trPr>
          <w:cantSplit/>
        </w:trPr>
        <w:tc>
          <w:tcPr>
            <w:tcW w:type="dxa" w:w="1600"/>
            <w:shd w:fill="1F2423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4"/>
                <w:szCs w:val="14"/>
              </w:rPr>
              <w:t xml:space="preserve">Вариант</w:t>
            </w:r>
          </w:p>
        </w:tc>
        <w:tc>
          <w:tcPr>
            <w:tcW w:type="dxa" w:w="2050"/>
            <w:shd w:fill="1F2423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4"/>
                <w:szCs w:val="14"/>
              </w:rPr>
              <w:t xml:space="preserve">Для кого</w:t>
            </w:r>
          </w:p>
        </w:tc>
        <w:tc>
          <w:tcPr>
            <w:tcW w:type="dxa" w:w="3150"/>
            <w:shd w:fill="1F2423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4"/>
                <w:szCs w:val="14"/>
              </w:rPr>
              <w:t xml:space="preserve">Что входит</w:t>
            </w:r>
          </w:p>
        </w:tc>
        <w:tc>
          <w:tcPr>
            <w:tcW w:type="dxa" w:w="3406"/>
            <w:shd w:fill="1F2423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4"/>
                <w:szCs w:val="14"/>
              </w:rPr>
              <w:t xml:space="preserve">Коридор · границы</w:t>
            </w:r>
          </w:p>
        </w:tc>
      </w:tr>
      <w:tr>
        <w:trPr>
          <w:cantSplit/>
        </w:trPr>
        <w:tc>
          <w:tcPr>
            <w:tcW w:type="dxa" w:w="1600"/>
            <w:shd w:fill="FCFAF5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Cloud PoV · проверка ценности</w:t>
            </w:r>
          </w:p>
        </w:tc>
        <w:tc>
          <w:tcPr>
            <w:tcW w:type="dxa" w:w="2050"/>
            <w:shd w:fill="FCFAF5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1–3 сценария до покупки оборудования</w:t>
            </w:r>
          </w:p>
        </w:tc>
        <w:tc>
          <w:tcPr>
            <w:tcW w:type="dxa" w:w="3150"/>
            <w:shd w:fill="FCFAF5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Диагностика; выборка; сравнение 2–3 моделей; прототип; замер качества, времени и стоимости; риски; расчёт local</w:t>
            </w:r>
          </w:p>
        </w:tc>
        <w:tc>
          <w:tcPr>
            <w:tcW w:type="dxa" w:w="3406"/>
            <w:shd w:fill="FCFAF5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250–700 тыс. ₽ · разрешённые, обезличенные или синтетические данные; без промышленной записи</w:t>
            </w:r>
          </w:p>
        </w:tc>
      </w:tr>
      <w:tr>
        <w:trPr>
          <w:cantSplit/>
        </w:trPr>
        <w:tc>
          <w:tcPr>
            <w:tcW w:type="dxa" w:w="1600"/>
            <w:shd w:fill="F0EBE1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Local Mini · локальный старт</w:t>
            </w:r>
          </w:p>
        </w:tc>
        <w:tc>
          <w:tcPr>
            <w:tcW w:type="dxa" w:w="2050"/>
            <w:shd w:fill="F0EBE1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10–50 активных пользователей; один офис</w:t>
            </w:r>
          </w:p>
        </w:tc>
        <w:tc>
          <w:tcPr>
            <w:tcW w:type="dxa" w:w="3150"/>
            <w:shd w:fill="F0EBE1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Узел; поиск; корпоративный вход; базовые права; журнал; backup; внедрение и обучение</w:t>
            </w:r>
          </w:p>
        </w:tc>
        <w:tc>
          <w:tcPr>
            <w:tcW w:type="dxa" w:w="3406"/>
            <w:shd w:fill="F0EBE1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0,9–2,5 млн ₽ · без высокой отказоустойчивости; согласованные окна обслуживания</w:t>
            </w:r>
          </w:p>
        </w:tc>
      </w:tr>
      <w:tr>
        <w:trPr>
          <w:cantSplit/>
        </w:trPr>
        <w:tc>
          <w:tcPr>
            <w:tcW w:type="dxa" w:w="1600"/>
            <w:shd w:fill="FCFAF5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Local Office · офисная система</w:t>
            </w:r>
          </w:p>
        </w:tc>
        <w:tc>
          <w:tcPr>
            <w:tcW w:type="dxa" w:w="2050"/>
            <w:shd w:fill="FCFAF5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30–150 пользователей; несколько подразделений; 3–8 сценариев</w:t>
            </w:r>
          </w:p>
        </w:tc>
        <w:tc>
          <w:tcPr>
            <w:tcW w:type="dxa" w:w="3150"/>
            <w:shd w:fill="FCFAF5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Разделение источников; согласования; резервирование; журнал ИБ; test/prod; проверка восстановления</w:t>
            </w:r>
          </w:p>
        </w:tc>
        <w:tc>
          <w:tcPr>
            <w:tcW w:type="dxa" w:w="3406"/>
            <w:shd w:fill="FCFAF5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2,5–8 млн ₽ · зависит от нагрузки, хранения, интеграций и доступности</w:t>
            </w:r>
          </w:p>
        </w:tc>
      </w:tr>
      <w:tr>
        <w:trPr>
          <w:cantSplit/>
        </w:trPr>
        <w:tc>
          <w:tcPr>
            <w:tcW w:type="dxa" w:w="1600"/>
            <w:shd w:fill="F0EBE1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GPU / Pro · высокая нагрузка</w:t>
            </w:r>
          </w:p>
        </w:tc>
        <w:tc>
          <w:tcPr>
            <w:tcW w:type="dxa" w:w="2050"/>
            <w:shd w:fill="F0EBE1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100–1000+ пользователей; тяжёлые фото, чертежи, обучение или HA</w:t>
            </w:r>
          </w:p>
        </w:tc>
        <w:tc>
          <w:tcPr>
            <w:tcW w:type="dxa" w:w="3150"/>
            <w:shd w:fill="F0EBE1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Состав после замера и проектирования</w:t>
            </w:r>
          </w:p>
        </w:tc>
        <w:tc>
          <w:tcPr>
            <w:tcW w:type="dxa" w:w="3406"/>
            <w:shd w:fill="F0EBE1" w:val="clear"/>
            <w:tcMar>
              <w:top w:type="dxa" w:w="45"/>
              <w:left w:type="dxa" w:w="70"/>
              <w:bottom w:type="dxa" w:w="45"/>
              <w:right w:type="dxa" w:w="70"/>
            </w:tcMar>
            <w:vAlign w:val="center"/>
          </w:tcPr>
          <w:p>
            <w:pPr>
              <w:keepNext w:val="false"/>
              <w:keepLines/>
              <w:spacing w:before="0" w:after="0" w:line="18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4"/>
                <w:szCs w:val="14"/>
              </w:rPr>
              <w:t xml:space="preserve">Цена после sizing · формулировка «от» без состава, резервирования и SLA не используется</w:t>
            </w:r>
          </w:p>
        </w:tc>
      </w:tr>
    </w:tbl>
    <w:tbl>
      <w:tblPr>
        <w:tblW w:type="dxa" w:w="10206"/>
        <w:tblBorders>
          <w:top w:val="none" w:color="F3E5DF" w:sz="0"/>
          <w:left w:val="single" w:color="A64B2A" w:sz="18"/>
          <w:bottom w:val="none" w:color="F3E5DF" w:sz="0"/>
          <w:right w:val="none" w:color="F3E5DF" w:sz="0"/>
          <w:insideH w:val="none" w:color="F3E5DF" w:sz="0"/>
          <w:insideV w:val="none" w:color="F3E5DF" w:sz="0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shd w:fill="F3E5DF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keepNext w:val="false"/>
              <w:keepLines/>
              <w:spacing w:before="0" w:after="0" w:line="23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8"/>
                <w:szCs w:val="18"/>
              </w:rPr>
              <w:t xml:space="preserve">Важная граница · 500 000 ₽ — лимит вычислительного оборудования, не полного проекта. Полный старт Base по модели — 627 894 ₽. Оборудование, лицензии, внедрение и поддержка раскрываются отдельными строками.</w:t>
            </w:r>
          </w:p>
        </w:tc>
      </w:tr>
    </w:tbl>
    <w:p>
      <w:pPr>
        <w:keepNext/>
        <w:spacing w:before="90" w:after="75" w:line="360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28"/>
          <w:szCs w:val="28"/>
        </w:rPr>
        <w:t xml:space="preserve">Как выбираем</w:t>
      </w:r>
    </w:p>
    <w:p>
      <w:pPr>
        <w:keepNext w:val="false"/>
        <w:keepLines/>
        <w:spacing w:before="0" w:after="92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Рекомендуемый вариант определяется после диагностики по подтверждённой нагрузке, режиму данных и числу сценариев. Для Pro цена появляется только после sizing.</w:t>
      </w:r>
    </w:p>
    <w:p>
      <w:pPr>
        <w:keepNext w:val="false"/>
        <w:keepLines/>
        <w:pBdr>
          <w:top w:val="single" w:color="D9D4CA" w:sz="6" w:space="5"/>
        </w:pBdr>
        <w:spacing w:before="90" w:after="0" w:line="19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6E706D"/>
          <w:sz w:val="15"/>
          <w:szCs w:val="15"/>
        </w:rPr>
        <w:t xml:space="preserve">Источники · E5 — модель поставки; E4 — hardware/TCO · гипотезы v1, не публичная оферта</w:t>
      </w:r>
    </w:p>
    <w:p>
      <w:r>
        <w:br w:type="page"/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5613"/>
        <w:gridCol w:w="4592"/>
      </w:tblGrid>
      <w:tr>
        <w:trPr>
          <w:cantSplit/>
        </w:trPr>
        <w:tc>
          <w:tcPr>
            <w:tcW w:type="dxa" w:w="5613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ФОРМАТ 43</w:t>
            </w: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A64B2A"/>
                <w:sz w:val="14"/>
                <w:szCs w:val="14"/>
              </w:rPr>
              <w:t xml:space="preserve">   СНАЧАЛА ФАКТ</w:t>
            </w:r>
          </w:p>
        </w:tc>
        <w:tc>
          <w:tcPr>
            <w:tcW w:type="dxa" w:w="4592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righ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6E706D"/>
                <w:sz w:val="14"/>
                <w:szCs w:val="14"/>
              </w:rPr>
              <w:t xml:space="preserve">КОММЕРЧЕСКОЕ ПРЕДЛОЖЕНИЕ  ·  06</w:t>
            </w:r>
          </w:p>
        </w:tc>
      </w:tr>
    </w:tbl>
    <w:p>
      <w:pPr>
        <w:keepNext/>
        <w:keepLines/>
        <w:spacing w:before="0" w:after="72" w:line="210"/>
        <w:jc w:val="left"/>
      </w:pPr>
      <w:r>
        <w:rPr>
          <w:rFonts w:ascii="Golos Text" w:cs="Golos Text" w:eastAsia="Golos Text" w:hAnsi="Golos Text"/>
          <w:b/>
          <w:bCs/>
          <w:i w:val="false"/>
          <w:iCs w:val="false"/>
          <w:caps w:val="false"/>
          <w:color w:val="A64B2A"/>
          <w:sz w:val="15"/>
          <w:szCs w:val="15"/>
        </w:rPr>
        <w:t xml:space="preserve">ЭКОНОМИКА</w:t>
      </w:r>
    </w:p>
    <w:p>
      <w:pPr>
        <w:keepNext/>
        <w:keepLines/>
        <w:spacing w:before="0" w:after="150" w:line="575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46"/>
          <w:szCs w:val="46"/>
        </w:rPr>
        <w:t xml:space="preserve">Сценарий, а не обещание окупаемости</w:t>
      </w:r>
    </w:p>
    <w:p>
      <w:pPr>
        <w:keepNext w:val="false"/>
        <w:keepLines/>
        <w:spacing w:before="0" w:after="92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Формульная модель показывает, почему оборудование нельзя покупать по впечатлению от демо.</w:t>
      </w:r>
    </w:p>
    <w:p>
      <w:pPr>
        <w:spacing w:line="3105" w:after="25"/>
        <w:jc w:val="center"/>
      </w:pPr>
      <w:r>
        <w:drawing>
          <wp:inline distT="0" distB="0" distL="0" distR="0">
            <wp:extent cx="5905500" cy="19716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keepLines/>
        <w:spacing w:before="0" w:after="75" w:line="250"/>
        <w:jc w:val="center"/>
      </w:pPr>
      <w:r>
        <w:rPr>
          <w:rFonts w:ascii="Golos Text" w:cs="Golos Text" w:eastAsia="Golos Text" w:hAnsi="Golos Text"/>
          <w:b w:val="false"/>
          <w:bCs w:val="false"/>
          <w:i/>
          <w:iCs/>
          <w:caps w:val="false"/>
          <w:color w:val="6E706D"/>
          <w:sz w:val="15"/>
          <w:szCs w:val="15"/>
        </w:rPr>
        <w:t xml:space="preserve">Внутренний расчёт Format43 · Base · data/roi-model.xlsx · снимок 09.09.2026</w:t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2600"/>
        <w:gridCol w:w="2050"/>
        <w:gridCol w:w="5556"/>
      </w:tblGrid>
      <w:tr>
        <w:trPr>
          <w:cantSplit/>
        </w:trPr>
        <w:tc>
          <w:tcPr>
            <w:tcW w:type="dxa" w:w="2600"/>
            <w:shd w:fill="1F2423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5"/>
                <w:szCs w:val="15"/>
              </w:rPr>
              <w:t xml:space="preserve">Показатель Base</w:t>
            </w:r>
          </w:p>
        </w:tc>
        <w:tc>
          <w:tcPr>
            <w:tcW w:type="dxa" w:w="2050"/>
            <w:shd w:fill="1F2423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5"/>
                <w:szCs w:val="15"/>
              </w:rPr>
              <w:t xml:space="preserve">Значение</w:t>
            </w:r>
          </w:p>
        </w:tc>
        <w:tc>
          <w:tcPr>
            <w:tcW w:type="dxa" w:w="5556"/>
            <w:shd w:fill="1F2423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5"/>
                <w:szCs w:val="15"/>
              </w:rPr>
              <w:t xml:space="preserve">Смысл</w:t>
            </w:r>
          </w:p>
        </w:tc>
      </w:tr>
      <w:tr>
        <w:trPr>
          <w:cantSplit/>
        </w:trPr>
        <w:tc>
          <w:tcPr>
            <w:tcW w:type="dxa" w:w="2600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Полный старт</w:t>
            </w:r>
          </w:p>
        </w:tc>
        <w:tc>
          <w:tcPr>
            <w:tcW w:type="dxa" w:w="2050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627 894 ₽</w:t>
            </w:r>
          </w:p>
        </w:tc>
        <w:tc>
          <w:tcPr>
            <w:tcW w:type="dxa" w:w="5556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Оборудование + UPS/NAS + монтаж + начальная интеграция</w:t>
            </w:r>
          </w:p>
        </w:tc>
      </w:tr>
      <w:tr>
        <w:trPr>
          <w:cantSplit/>
        </w:trPr>
        <w:tc>
          <w:tcPr>
            <w:tcW w:type="dxa" w:w="2600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Локальные расходы</w:t>
            </w:r>
          </w:p>
        </w:tc>
        <w:tc>
          <w:tcPr>
            <w:tcW w:type="dxa" w:w="2050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34 061 ₽/мес.</w:t>
            </w:r>
          </w:p>
        </w:tc>
        <w:tc>
          <w:tcPr>
            <w:tcW w:type="dxa" w:w="5556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Электричество, сопровождение, backup, простой, резерв, API</w:t>
            </w:r>
          </w:p>
        </w:tc>
      </w:tr>
      <w:tr>
        <w:trPr>
          <w:cantSplit/>
        </w:trPr>
        <w:tc>
          <w:tcPr>
            <w:tcW w:type="dxa" w:w="2600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Облако/API</w:t>
            </w:r>
          </w:p>
        </w:tc>
        <w:tc>
          <w:tcPr>
            <w:tcW w:type="dxa" w:w="2050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43 499 ₽/мес.</w:t>
            </w:r>
          </w:p>
        </w:tc>
        <w:tc>
          <w:tcPr>
            <w:tcW w:type="dxa" w:w="5556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Замещаемая альтернатива при 120 GPU-часах</w:t>
            </w:r>
          </w:p>
        </w:tc>
      </w:tr>
      <w:tr>
        <w:trPr>
          <w:cantSplit/>
        </w:trPr>
        <w:tc>
          <w:tcPr>
            <w:tcW w:type="dxa" w:w="2600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Ценность труда</w:t>
            </w:r>
          </w:p>
        </w:tc>
        <w:tc>
          <w:tcPr>
            <w:tcW w:type="dxa" w:w="2050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21 120 ₽/мес.</w:t>
            </w:r>
          </w:p>
        </w:tc>
        <w:tc>
          <w:tcPr>
            <w:tcW w:type="dxa" w:w="5556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Только реализуемая часть экономии времени</w:t>
            </w:r>
          </w:p>
        </w:tc>
      </w:tr>
      <w:tr>
        <w:trPr>
          <w:cantSplit/>
        </w:trPr>
        <w:tc>
          <w:tcPr>
            <w:tcW w:type="dxa" w:w="2600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Чистый эффект</w:t>
            </w:r>
          </w:p>
        </w:tc>
        <w:tc>
          <w:tcPr>
            <w:tcW w:type="dxa" w:w="2050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30 557 ₽/мес.</w:t>
            </w:r>
          </w:p>
        </w:tc>
        <w:tc>
          <w:tcPr>
            <w:tcW w:type="dxa" w:w="5556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Полная ценность минус локальные расходы</w:t>
            </w:r>
          </w:p>
        </w:tc>
      </w:tr>
      <w:tr>
        <w:trPr>
          <w:cantSplit/>
        </w:trPr>
        <w:tc>
          <w:tcPr>
            <w:tcW w:type="dxa" w:w="2600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Payback</w:t>
            </w:r>
          </w:p>
        </w:tc>
        <w:tc>
          <w:tcPr>
            <w:tcW w:type="dxa" w:w="2050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20,55 месяца</w:t>
            </w:r>
          </w:p>
        </w:tc>
        <w:tc>
          <w:tcPr>
            <w:tcW w:type="dxa" w:w="5556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ROI: -41,6% / +16,8% / +75,2% на 12 / 24 / 36 мес.</w:t>
            </w:r>
          </w:p>
        </w:tc>
      </w:tr>
    </w:tbl>
    <w:p>
      <w:pPr>
        <w:keepNext w:val="false"/>
        <w:keepLines/>
        <w:spacing w:before="65" w:after="55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Консервативный сценарий имеет отрицательный поток и не окупается. Возврат менее 12 месяцев появляется только в aggressive-сценарии с высокой подтверждённой загрузкой.</w:t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5400"/>
        <w:gridCol w:w="4806"/>
      </w:tblGrid>
      <w:tr>
        <w:trPr>
          <w:cantSplit/>
        </w:trPr>
        <w:tc>
          <w:tcPr>
            <w:tcW w:type="dxa" w:w="5400"/>
            <w:shd w:fill="1F2423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5"/>
                <w:szCs w:val="15"/>
              </w:rPr>
              <w:t xml:space="preserve">Что заменяем цифрами заказчика</w:t>
            </w:r>
          </w:p>
        </w:tc>
        <w:tc>
          <w:tcPr>
            <w:tcW w:type="dxa" w:w="4806"/>
            <w:shd w:fill="1F2423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5"/>
                <w:szCs w:val="15"/>
              </w:rPr>
              <w:t xml:space="preserve">Источник</w:t>
            </w:r>
          </w:p>
        </w:tc>
      </w:tr>
      <w:tr>
        <w:trPr>
          <w:cantSplit/>
        </w:trPr>
        <w:tc>
          <w:tcPr>
            <w:tcW w:type="dxa" w:w="5400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Случаи/мес.; минуты/случай; полная стоимость часа</w:t>
            </w:r>
          </w:p>
        </w:tc>
        <w:tc>
          <w:tcPr>
            <w:tcW w:type="dxa" w:w="4806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Отчёт процесса · хронометраж · финслужба</w:t>
            </w:r>
          </w:p>
        </w:tc>
      </w:tr>
      <w:tr>
        <w:trPr>
          <w:cantSplit/>
        </w:trPr>
        <w:tc>
          <w:tcPr>
            <w:tcW w:type="dxa" w:w="5400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Цена простоя; облако/API; требуемая доступность</w:t>
            </w:r>
          </w:p>
        </w:tc>
        <w:tc>
          <w:tcPr>
            <w:tcW w:type="dxa" w:w="4806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Владелец процесса · счета/лимиты · ИТ/бизнес</w:t>
            </w:r>
          </w:p>
        </w:tc>
      </w:tr>
    </w:tbl>
    <w:tbl>
      <w:tblPr>
        <w:tblW w:type="dxa" w:w="10206"/>
        <w:tblBorders>
          <w:top w:val="none" w:color="F3E5DF" w:sz="0"/>
          <w:left w:val="single" w:color="A64B2A" w:sz="18"/>
          <w:bottom w:val="none" w:color="F3E5DF" w:sz="0"/>
          <w:right w:val="none" w:color="F3E5DF" w:sz="0"/>
          <w:insideH w:val="none" w:color="F3E5DF" w:sz="0"/>
          <w:insideV w:val="none" w:color="F3E5DF" w:sz="0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shd w:fill="F3E5DF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keepNext w:val="false"/>
              <w:keepLines/>
              <w:spacing w:before="0" w:after="0" w:line="23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Расчёт · для возврата за 12 месяцев нужен чистый эффект 52 325 ₽/мес.; разрыв — около 21 767 ₽/мес. Поэтому годовую окупаемость не обещаем.</w:t>
            </w:r>
          </w:p>
        </w:tc>
      </w:tr>
    </w:tbl>
    <w:p>
      <w:pPr>
        <w:keepNext w:val="false"/>
        <w:keepLines/>
        <w:pBdr>
          <w:top w:val="single" w:color="D9D4CA" w:sz="6" w:space="5"/>
        </w:pBdr>
        <w:spacing w:before="90" w:after="0" w:line="19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6E706D"/>
          <w:sz w:val="15"/>
          <w:szCs w:val="15"/>
        </w:rPr>
        <w:t xml:space="preserve">Источник · E4 — пересчитанный roi-model.xlsx · Base payback 20,55 месяца; Avito verified: 0</w:t>
      </w:r>
    </w:p>
    <w:p>
      <w:r>
        <w:br w:type="page"/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5613"/>
        <w:gridCol w:w="4592"/>
      </w:tblGrid>
      <w:tr>
        <w:trPr>
          <w:cantSplit/>
        </w:trPr>
        <w:tc>
          <w:tcPr>
            <w:tcW w:type="dxa" w:w="5613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ФОРМАТ 43</w:t>
            </w: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A64B2A"/>
                <w:sz w:val="14"/>
                <w:szCs w:val="14"/>
              </w:rPr>
              <w:t xml:space="preserve">   СНАЧАЛА ФАКТ</w:t>
            </w:r>
          </w:p>
        </w:tc>
        <w:tc>
          <w:tcPr>
            <w:tcW w:type="dxa" w:w="4592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righ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6E706D"/>
                <w:sz w:val="14"/>
                <w:szCs w:val="14"/>
              </w:rPr>
              <w:t xml:space="preserve">КОММЕРЧЕСКОЕ ПРЕДЛОЖЕНИЕ  ·  07</w:t>
            </w:r>
          </w:p>
        </w:tc>
      </w:tr>
    </w:tbl>
    <w:p>
      <w:pPr>
        <w:keepNext/>
        <w:keepLines/>
        <w:spacing w:before="0" w:after="72" w:line="210"/>
        <w:jc w:val="left"/>
      </w:pPr>
      <w:r>
        <w:rPr>
          <w:rFonts w:ascii="Golos Text" w:cs="Golos Text" w:eastAsia="Golos Text" w:hAnsi="Golos Text"/>
          <w:b/>
          <w:bCs/>
          <w:i w:val="false"/>
          <w:iCs w:val="false"/>
          <w:caps w:val="false"/>
          <w:color w:val="A64B2A"/>
          <w:sz w:val="15"/>
          <w:szCs w:val="15"/>
        </w:rPr>
        <w:t xml:space="preserve">90-ДНЕВНЫЙ ROLLOUT</w:t>
      </w:r>
    </w:p>
    <w:p>
      <w:pPr>
        <w:keepNext/>
        <w:keepLines/>
        <w:spacing w:before="0" w:after="150" w:line="563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45"/>
          <w:szCs w:val="45"/>
        </w:rPr>
        <w:t xml:space="preserve">В приёмку выходит один рабочий процесс — не «AI вообще»</w:t>
      </w:r>
    </w:p>
    <w:p>
      <w:pPr>
        <w:keepNext w:val="false"/>
        <w:keepLines/>
        <w:spacing w:before="0" w:after="92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Сроки — рабочая рекомендация. Они зависят от готовности документов, доступов, интеграций и решений ИБ/права.</w:t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single" w:color="D9D4CA" w:sz="5"/>
        </w:tblBorders>
        <w:tblLayout w:type="fixed"/>
      </w:tblPr>
      <w:tblGrid>
        <w:gridCol w:w="1450"/>
        <w:gridCol w:w="5900"/>
        <w:gridCol w:w="2856"/>
      </w:tblGrid>
      <w:tr>
        <w:trPr>
          <w:cantSplit/>
        </w:trPr>
        <w:tc>
          <w:tcPr>
            <w:tcW w:type="dxa" w:w="1450"/>
            <w:shd w:fill="1F2423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5"/>
                <w:szCs w:val="15"/>
              </w:rPr>
              <w:t xml:space="preserve">Период</w:t>
            </w:r>
          </w:p>
        </w:tc>
        <w:tc>
          <w:tcPr>
            <w:tcW w:type="dxa" w:w="5900"/>
            <w:shd w:fill="1F2423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5"/>
                <w:szCs w:val="15"/>
              </w:rPr>
              <w:t xml:space="preserve">Работа</w:t>
            </w:r>
          </w:p>
        </w:tc>
        <w:tc>
          <w:tcPr>
            <w:tcW w:type="dxa" w:w="2856"/>
            <w:shd w:fill="1F2423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5"/>
                <w:szCs w:val="15"/>
              </w:rPr>
              <w:t xml:space="preserve">Результат / gate</w:t>
            </w:r>
          </w:p>
        </w:tc>
      </w:tr>
      <w:tr>
        <w:trPr>
          <w:cantSplit/>
        </w:trPr>
        <w:tc>
          <w:tcPr>
            <w:tcW w:type="dxa" w:w="1450"/>
            <w:shd w:fill="FCFAF5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Дни 1–15</w:t>
            </w:r>
          </w:p>
        </w:tc>
        <w:tc>
          <w:tcPr>
            <w:tcW w:type="dxa" w:w="5900"/>
            <w:shd w:fill="FCFAF5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Назначаем владельца; описываем шаги; фиксируем время и ошибки; определяем источники и права; собираем выборку; подписываем цель и повод остановиться</w:t>
            </w:r>
          </w:p>
        </w:tc>
        <w:tc>
          <w:tcPr>
            <w:tcW w:type="dxa" w:w="2856"/>
            <w:shd w:fill="FCFAF5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Паспорт пилота и допущенные данные</w:t>
            </w:r>
          </w:p>
        </w:tc>
      </w:tr>
      <w:tr>
        <w:trPr>
          <w:cantSplit/>
        </w:trPr>
        <w:tc>
          <w:tcPr>
            <w:tcW w:type="dxa" w:w="1450"/>
            <w:shd w:fill="F0EBE1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Дни 16–35</w:t>
            </w:r>
          </w:p>
        </w:tc>
        <w:tc>
          <w:tcPr>
            <w:tcW w:type="dxa" w:w="5900"/>
            <w:shd w:fill="F0EBE1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Сравниваем 2–3 модели; измеряем качество, скорость, стоимость и время проверки; разбираем ошибки, а не только лучшие примеры</w:t>
            </w:r>
          </w:p>
        </w:tc>
        <w:tc>
          <w:tcPr>
            <w:tcW w:type="dxa" w:w="2856"/>
            <w:shd w:fill="F0EBE1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Отчёт: работает / изменить / остановить</w:t>
            </w:r>
          </w:p>
        </w:tc>
      </w:tr>
      <w:tr>
        <w:trPr>
          <w:cantSplit/>
        </w:trPr>
        <w:tc>
          <w:tcPr>
            <w:tcW w:type="dxa" w:w="1450"/>
            <w:shd w:fill="FCFAF5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Дни 36–55</w:t>
            </w:r>
          </w:p>
        </w:tc>
        <w:tc>
          <w:tcPr>
            <w:tcW w:type="dxa" w:w="5900"/>
            <w:shd w:fill="FCFAF5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По фактической нагрузке выбираем cloud/local/hybrid; фиксируем оборудование, хранение, интеграции, остаточные риски и полную стоимость</w:t>
            </w:r>
          </w:p>
        </w:tc>
        <w:tc>
          <w:tcPr>
            <w:tcW w:type="dxa" w:w="2856"/>
            <w:shd w:fill="FCFAF5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Спецификация и решение о бюджете</w:t>
            </w:r>
          </w:p>
        </w:tc>
      </w:tr>
      <w:tr>
        <w:trPr>
          <w:cantSplit/>
        </w:trPr>
        <w:tc>
          <w:tcPr>
            <w:tcW w:type="dxa" w:w="1450"/>
            <w:shd w:fill="F0EBE1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Дни 56–75</w:t>
            </w:r>
          </w:p>
        </w:tc>
        <w:tc>
          <w:tcPr>
            <w:tcW w:type="dxa" w:w="5900"/>
            <w:shd w:fill="F0EBE1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Настраиваем вход, права, источники, backup, журнал и согласования; проверяем закрытые документы, вредные вложения, откат и восстановление</w:t>
            </w:r>
          </w:p>
        </w:tc>
        <w:tc>
          <w:tcPr>
            <w:tcW w:type="dxa" w:w="2856"/>
            <w:shd w:fill="F0EBE1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Допуск к ограниченному запуску или доработка</w:t>
            </w:r>
          </w:p>
        </w:tc>
      </w:tr>
      <w:tr>
        <w:trPr>
          <w:cantSplit/>
        </w:trPr>
        <w:tc>
          <w:tcPr>
            <w:tcW w:type="dxa" w:w="1450"/>
            <w:shd w:fill="FCFAF5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Дни 76–90</w:t>
            </w:r>
          </w:p>
        </w:tc>
        <w:tc>
          <w:tcPr>
            <w:tcW w:type="dxa" w:w="5900"/>
            <w:shd w:fill="FCFAF5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Обучаем пользователей; запускаем выбранный процесс; измеряем принятие результатов и время проверки; согласуем поддержку и следующий сценарий</w:t>
            </w:r>
          </w:p>
        </w:tc>
        <w:tc>
          <w:tcPr>
            <w:tcW w:type="dxa" w:w="2856"/>
            <w:shd w:fill="FCFAF5" w:val="clear"/>
            <w:tcMar>
              <w:top w:type="dxa" w:w="62"/>
              <w:left w:type="dxa" w:w="75"/>
              <w:bottom w:type="dxa" w:w="62"/>
              <w:right w:type="dxa" w:w="75"/>
            </w:tcMar>
            <w:vAlign w:val="center"/>
          </w:tcPr>
          <w:p>
            <w:pPr>
              <w:keepNext w:val="false"/>
              <w:keepLines/>
              <w:spacing w:before="0" w:after="0" w:line="195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Приёмка конкретного процесса</w:t>
            </w:r>
          </w:p>
        </w:tc>
      </w:tr>
    </w:tbl>
    <w:p>
      <w:pPr>
        <w:keepNext/>
        <w:spacing w:before="90" w:after="75" w:line="360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28"/>
          <w:szCs w:val="28"/>
        </w:rPr>
        <w:t xml:space="preserve">Ритм решений</w:t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4200"/>
        <w:gridCol w:w="6006"/>
      </w:tblGrid>
      <w:tr>
        <w:trPr>
          <w:cantSplit/>
        </w:trPr>
        <w:tc>
          <w:tcPr>
            <w:tcW w:type="dxa" w:w="4200"/>
            <w:shd w:fill="1F2423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6"/>
                <w:szCs w:val="16"/>
              </w:rPr>
              <w:t xml:space="preserve">Факт</w:t>
            </w:r>
          </w:p>
        </w:tc>
        <w:tc>
          <w:tcPr>
            <w:tcW w:type="dxa" w:w="6006"/>
            <w:shd w:fill="1F2423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6"/>
                <w:szCs w:val="16"/>
              </w:rPr>
              <w:t xml:space="preserve">Решение</w:t>
            </w:r>
          </w:p>
        </w:tc>
      </w:tr>
      <w:tr>
        <w:trPr>
          <w:cantSplit/>
        </w:trPr>
        <w:tc>
          <w:tcPr>
            <w:tcW w:type="dxa" w:w="4200"/>
            <w:shd w:fill="FCFAF5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Качество и ценность подтверждены</w:t>
            </w:r>
          </w:p>
        </w:tc>
        <w:tc>
          <w:tcPr>
            <w:tcW w:type="dxa" w:w="6006"/>
            <w:shd w:fill="FCFAF5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Продолжить и выбрать режим</w:t>
            </w:r>
          </w:p>
        </w:tc>
      </w:tr>
      <w:tr>
        <w:trPr>
          <w:cantSplit/>
        </w:trPr>
        <w:tc>
          <w:tcPr>
            <w:tcW w:type="dxa" w:w="4200"/>
            <w:shd w:fill="F0EBE1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Нагрузка не подтверждена</w:t>
            </w:r>
          </w:p>
        </w:tc>
        <w:tc>
          <w:tcPr>
            <w:tcW w:type="dxa" w:w="6006"/>
            <w:shd w:fill="F0EBE1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Остаться в облаке или изменить сценарий</w:t>
            </w:r>
          </w:p>
        </w:tc>
      </w:tr>
      <w:tr>
        <w:trPr>
          <w:cantSplit/>
        </w:trPr>
        <w:tc>
          <w:tcPr>
            <w:tcW w:type="dxa" w:w="4200"/>
            <w:shd w:fill="FCFAF5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Критический риск</w:t>
            </w:r>
          </w:p>
        </w:tc>
        <w:tc>
          <w:tcPr>
            <w:tcW w:type="dxa" w:w="6006"/>
            <w:shd w:fill="FCFAF5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Остановиться до устранения</w:t>
            </w:r>
          </w:p>
        </w:tc>
      </w:tr>
    </w:tbl>
    <w:tbl>
      <w:tblPr>
        <w:tblW w:type="dxa" w:w="10206"/>
        <w:tblBorders>
          <w:top w:val="none" w:color="E6ECE8" w:sz="0"/>
          <w:left w:val="single" w:color="526B60" w:sz="18"/>
          <w:bottom w:val="none" w:color="E6ECE8" w:sz="0"/>
          <w:right w:val="none" w:color="E6ECE8" w:sz="0"/>
          <w:insideH w:val="none" w:color="E6ECE8" w:sz="0"/>
          <w:insideV w:val="none" w:color="E6ECE8" w:sz="0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shd w:fill="E6ECE8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keepNext w:val="false"/>
              <w:keepLines/>
              <w:spacing w:before="0" w:after="0" w:line="23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18"/>
                <w:szCs w:val="18"/>
              </w:rPr>
              <w:t xml:space="preserve">Каждая фаза заканчивается результатом, владельцем и правом остановиться.</w:t>
            </w:r>
          </w:p>
        </w:tc>
      </w:tr>
    </w:tbl>
    <w:p>
      <w:pPr>
        <w:keepNext w:val="false"/>
        <w:keepLines/>
        <w:pBdr>
          <w:top w:val="single" w:color="D9D4CA" w:sz="6" w:space="5"/>
        </w:pBdr>
        <w:spacing w:before="90" w:after="0" w:line="19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6E706D"/>
          <w:sz w:val="15"/>
          <w:szCs w:val="15"/>
        </w:rPr>
        <w:t xml:space="preserve">Источник · E6 — 90-дневный план внедрения; E2 — проверка доступа, отката и восстановления</w:t>
      </w:r>
    </w:p>
    <w:p>
      <w:r>
        <w:br w:type="page"/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5613"/>
        <w:gridCol w:w="4592"/>
      </w:tblGrid>
      <w:tr>
        <w:trPr>
          <w:cantSplit/>
        </w:trPr>
        <w:tc>
          <w:tcPr>
            <w:tcW w:type="dxa" w:w="5613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ФОРМАТ 43</w:t>
            </w: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A64B2A"/>
                <w:sz w:val="14"/>
                <w:szCs w:val="14"/>
              </w:rPr>
              <w:t xml:space="preserve">   СНАЧАЛА ФАКТ</w:t>
            </w:r>
          </w:p>
        </w:tc>
        <w:tc>
          <w:tcPr>
            <w:tcW w:type="dxa" w:w="4592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righ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6E706D"/>
                <w:sz w:val="14"/>
                <w:szCs w:val="14"/>
              </w:rPr>
              <w:t xml:space="preserve">КОММЕРЧЕСКОЕ ПРЕДЛОЖЕНИЕ  ·  08</w:t>
            </w:r>
          </w:p>
        </w:tc>
      </w:tr>
    </w:tbl>
    <w:p>
      <w:pPr>
        <w:keepNext/>
        <w:keepLines/>
        <w:spacing w:before="0" w:after="72" w:line="210"/>
        <w:jc w:val="left"/>
      </w:pPr>
      <w:r>
        <w:rPr>
          <w:rFonts w:ascii="Golos Text" w:cs="Golos Text" w:eastAsia="Golos Text" w:hAnsi="Golos Text"/>
          <w:b/>
          <w:bCs/>
          <w:i w:val="false"/>
          <w:iCs w:val="false"/>
          <w:caps w:val="false"/>
          <w:color w:val="A64B2A"/>
          <w:sz w:val="15"/>
          <w:szCs w:val="15"/>
        </w:rPr>
        <w:t xml:space="preserve">ГРАНИЦЫ ОТВЕТСТВЕННОСТИ</w:t>
      </w:r>
    </w:p>
    <w:p>
      <w:pPr>
        <w:keepNext/>
        <w:keepLines/>
        <w:spacing w:before="0" w:after="150" w:line="575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46"/>
          <w:szCs w:val="46"/>
        </w:rPr>
        <w:t xml:space="preserve">AI готовит. Квалифицированный сотрудник решает</w:t>
      </w:r>
    </w:p>
    <w:p>
      <w:pPr>
        <w:spacing w:line="2700" w:after="25"/>
        <w:jc w:val="center"/>
      </w:pPr>
      <w:r>
        <w:drawing>
          <wp:inline distT="0" distB="0" distL="0" distR="0">
            <wp:extent cx="5905500" cy="1714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keepLines/>
        <w:spacing w:before="0" w:after="70" w:line="190"/>
        <w:jc w:val="center"/>
      </w:pPr>
      <w:r>
        <w:rPr>
          <w:rFonts w:ascii="Golos Text" w:cs="Golos Text" w:eastAsia="Golos Text" w:hAnsi="Golos Text"/>
          <w:b w:val="false"/>
          <w:bCs w:val="false"/>
          <w:i/>
          <w:iCs/>
          <w:caps w:val="false"/>
          <w:color w:val="6E706D"/>
          <w:sz w:val="15"/>
          <w:szCs w:val="15"/>
        </w:rPr>
        <w:t xml:space="preserve">Визуализация концепции</w:t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single" w:color="D9D4CA" w:sz="5"/>
        </w:tblBorders>
        <w:tblLayout w:type="fixed"/>
      </w:tblPr>
      <w:tblGrid>
        <w:gridCol w:w="3400"/>
        <w:gridCol w:w="3400"/>
        <w:gridCol w:w="3406"/>
      </w:tblGrid>
      <w:tr>
        <w:trPr>
          <w:cantSplit/>
        </w:trPr>
        <w:tc>
          <w:tcPr>
            <w:tcW w:type="dxa" w:w="3400"/>
            <w:shd w:fill="1F2423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6"/>
                <w:szCs w:val="16"/>
              </w:rPr>
              <w:t xml:space="preserve">Заказчик</w:t>
            </w:r>
          </w:p>
        </w:tc>
        <w:tc>
          <w:tcPr>
            <w:tcW w:type="dxa" w:w="3400"/>
            <w:shd w:fill="1F2423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6"/>
                <w:szCs w:val="16"/>
              </w:rPr>
              <w:t xml:space="preserve">Format43</w:t>
            </w:r>
          </w:p>
        </w:tc>
        <w:tc>
          <w:tcPr>
            <w:tcW w:type="dxa" w:w="3406"/>
            <w:shd w:fill="1F2423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6"/>
                <w:szCs w:val="16"/>
              </w:rPr>
              <w:t xml:space="preserve">Совместно</w:t>
            </w:r>
          </w:p>
        </w:tc>
      </w:tr>
      <w:tr>
        <w:trPr>
          <w:cantSplit/>
        </w:trPr>
        <w:tc>
          <w:tcPr>
            <w:tcW w:type="dxa" w:w="3400"/>
            <w:shd w:fill="FCFAF5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Назначает владельца и принимающих результат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Даёт законно используемые данные и описывает права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Подтверждает цели, основания и требования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Обеспечивает площадку, сеть, питание, ИТ/ИБ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Проверяет, подписывает и отправляет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Сообщает об изменениях</w:t>
            </w:r>
          </w:p>
        </w:tc>
        <w:tc>
          <w:tcPr>
            <w:tcW w:type="dxa" w:w="3400"/>
            <w:shd w:fill="FCFAF5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Фиксирует границы и допущения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Собирает согласованный объём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Сравнивает модели на выборке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Настраивает права, журнал, backup и обновления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Проверяет качество, доступ и restore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Обучает и передаёт документацию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Поддерживает по подписанному SLA</w:t>
            </w:r>
          </w:p>
        </w:tc>
        <w:tc>
          <w:tcPr>
            <w:tcW w:type="dxa" w:w="3406"/>
            <w:shd w:fill="FCFAF5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Карта данных и роли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Модель угроз и меры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Критерии приёмки и остаточные риски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Инциденты, удаление, восстановление</w:t>
            </w:r>
          </w:p>
          <w:p>
            <w:pPr>
              <w:pStyle w:val="ListParagraph"/>
              <w:keepLines/>
              <w:numPr>
                <w:ilvl w:val="0"/>
                <w:numId w:val="2"/>
              </w:numPr>
              <w:spacing w:after="28" w:line="190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Решение о новом источнике или действии</w:t>
            </w:r>
          </w:p>
        </w:tc>
      </w:tr>
    </w:tbl>
    <w:tbl>
      <w:tblPr>
        <w:tblW w:type="dxa" w:w="10206"/>
        <w:tblBorders>
          <w:top w:val="none" w:color="F3E5DF" w:sz="0"/>
          <w:left w:val="single" w:color="A64B2A" w:sz="18"/>
          <w:bottom w:val="none" w:color="F3E5DF" w:sz="0"/>
          <w:right w:val="none" w:color="F3E5DF" w:sz="0"/>
          <w:insideH w:val="none" w:color="F3E5DF" w:sz="0"/>
          <w:insideV w:val="none" w:color="F3E5DF" w:sz="0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shd w:fill="F3E5DF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keepNext w:val="false"/>
              <w:keepLines/>
              <w:spacing w:before="0" w:after="0" w:line="23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18"/>
                <w:szCs w:val="18"/>
              </w:rPr>
              <w:t xml:space="preserve">Граница · Format43 не заменяет юриста, ИБ, главного бухгалтера, ГИП, механика, диспетчера или другого accountable professional заказчика.</w:t>
            </w:r>
          </w:p>
        </w:tc>
      </w:tr>
    </w:tbl>
    <w:p>
      <w:pPr>
        <w:keepNext w:val="false"/>
        <w:keepLines/>
        <w:pBdr>
          <w:top w:val="single" w:color="D9D4CA" w:sz="6" w:space="5"/>
        </w:pBdr>
        <w:spacing w:before="90" w:after="0" w:line="19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6E706D"/>
          <w:sz w:val="15"/>
          <w:szCs w:val="15"/>
        </w:rPr>
        <w:t xml:space="preserve">Источники · E2 — decision rights и human approval; E1 — роли заказчика/поставщика · визуализация концепции</w:t>
      </w:r>
    </w:p>
    <w:p>
      <w:r>
        <w:br w:type="page"/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5613"/>
        <w:gridCol w:w="4592"/>
      </w:tblGrid>
      <w:tr>
        <w:trPr>
          <w:cantSplit/>
        </w:trPr>
        <w:tc>
          <w:tcPr>
            <w:tcW w:type="dxa" w:w="5613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ФОРМАТ 43</w:t>
            </w: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A64B2A"/>
                <w:sz w:val="14"/>
                <w:szCs w:val="14"/>
              </w:rPr>
              <w:t xml:space="preserve">   СНАЧАЛА ФАКТ</w:t>
            </w:r>
          </w:p>
        </w:tc>
        <w:tc>
          <w:tcPr>
            <w:tcW w:type="dxa" w:w="4592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righ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6E706D"/>
                <w:sz w:val="14"/>
                <w:szCs w:val="14"/>
              </w:rPr>
              <w:t xml:space="preserve">КОММЕРЧЕСКОЕ ПРЕДЛОЖЕНИЕ  ·  09</w:t>
            </w:r>
          </w:p>
        </w:tc>
      </w:tr>
    </w:tbl>
    <w:p>
      <w:pPr>
        <w:keepNext/>
        <w:keepLines/>
        <w:spacing w:before="0" w:after="72" w:line="210"/>
        <w:jc w:val="left"/>
      </w:pPr>
      <w:r>
        <w:rPr>
          <w:rFonts w:ascii="Golos Text" w:cs="Golos Text" w:eastAsia="Golos Text" w:hAnsi="Golos Text"/>
          <w:b/>
          <w:bCs/>
          <w:i w:val="false"/>
          <w:iCs w:val="false"/>
          <w:caps w:val="false"/>
          <w:color w:val="A64B2A"/>
          <w:sz w:val="15"/>
          <w:szCs w:val="15"/>
        </w:rPr>
        <w:t xml:space="preserve">ОГОВОРКИ</w:t>
      </w:r>
    </w:p>
    <w:p>
      <w:pPr>
        <w:keepNext/>
        <w:keepLines/>
        <w:spacing w:before="0" w:after="150" w:line="600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48"/>
          <w:szCs w:val="48"/>
        </w:rPr>
        <w:t xml:space="preserve">Что предложение не обещает</w:t>
      </w:r>
    </w:p>
    <w:p>
      <w:pPr>
        <w:keepNext/>
        <w:spacing w:before="90" w:after="75" w:line="360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28"/>
          <w:szCs w:val="28"/>
        </w:rPr>
        <w:t xml:space="preserve">Не входит без отдельной строки</w:t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single" w:color="D9D4CA" w:sz="5"/>
        </w:tblBorders>
        <w:tblLayout w:type="fixed"/>
      </w:tblPr>
      <w:tblGrid>
        <w:gridCol w:w="5103"/>
        <w:gridCol w:w="5103"/>
      </w:tblGrid>
      <w:tr>
        <w:trPr>
          <w:cantSplit/>
        </w:trPr>
        <w:tc>
          <w:tcPr>
            <w:tcW w:type="dxa" w:w="5103"/>
            <w:shd w:fill="1F2423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5"/>
                <w:szCs w:val="15"/>
              </w:rPr>
              <w:t xml:space="preserve">Данные и системы</w:t>
            </w:r>
          </w:p>
        </w:tc>
        <w:tc>
          <w:tcPr>
            <w:tcW w:type="dxa" w:w="5103"/>
            <w:shd w:fill="1F2423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5"/>
                <w:szCs w:val="15"/>
              </w:rPr>
              <w:t xml:space="preserve">Инфраструктура и обязательства</w:t>
            </w:r>
          </w:p>
        </w:tc>
      </w:tr>
      <w:tr>
        <w:trPr>
          <w:cantSplit/>
        </w:trPr>
        <w:tc>
          <w:tcPr>
            <w:tcW w:type="dxa" w:w="5103"/>
            <w:shd w:fill="FCFAF5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Очистка и ручная разметка большого архива</w:t>
            </w:r>
          </w:p>
        </w:tc>
        <w:tc>
          <w:tcPr>
            <w:tcW w:type="dxa" w:w="5103"/>
            <w:shd w:fill="FCFAF5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Миграция сети, каталогов пользователей или хранилищ</w:t>
            </w:r>
          </w:p>
        </w:tc>
      </w:tr>
      <w:tr>
        <w:trPr>
          <w:cantSplit/>
        </w:trPr>
        <w:tc>
          <w:tcPr>
            <w:tcW w:type="dxa" w:w="5103"/>
            <w:shd w:fill="F0EBE1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Изменение исходных систем и нестандартные коннекторы</w:t>
            </w:r>
          </w:p>
        </w:tc>
        <w:tc>
          <w:tcPr>
            <w:tcW w:type="dxa" w:w="5103"/>
            <w:shd w:fill="F0EBE1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Круглосуточная поддержка, резервная площадка, высокая отказоустойчивость</w:t>
            </w:r>
          </w:p>
        </w:tc>
      </w:tr>
      <w:tr>
        <w:trPr>
          <w:cantSplit/>
        </w:trPr>
        <w:tc>
          <w:tcPr>
            <w:tcW w:type="dxa" w:w="5103"/>
            <w:shd w:fill="FCFAF5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Права на сторонние данные, изображения, шрифты или закрытые модели</w:t>
            </w:r>
          </w:p>
        </w:tc>
        <w:tc>
          <w:tcPr>
            <w:tcW w:type="dxa" w:w="5103"/>
            <w:shd w:fill="FCFAF5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Сертификация, аттестация, юридическое заключение, режим коммерческой тайны</w:t>
            </w:r>
          </w:p>
        </w:tc>
      </w:tr>
      <w:tr>
        <w:trPr>
          <w:cantSplit/>
        </w:trPr>
        <w:tc>
          <w:tcPr>
            <w:tcW w:type="dxa" w:w="5103"/>
            <w:shd w:fill="F0EBE1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Автономные платежи, подпись, публикация или управление техникой</w:t>
            </w:r>
          </w:p>
        </w:tc>
        <w:tc>
          <w:tcPr>
            <w:tcW w:type="dxa" w:w="5103"/>
            <w:shd w:fill="F0EBE1" w:val="clear"/>
            <w:tcMar>
              <w:top w:type="dxa" w:w="50"/>
              <w:left w:type="dxa" w:w="95"/>
              <w:bottom w:type="dxa" w:w="50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Иные необратимые действия без отдельного согласованного контура</w:t>
            </w:r>
          </w:p>
        </w:tc>
      </w:tr>
    </w:tbl>
    <w:p>
      <w:pPr>
        <w:keepNext/>
        <w:spacing w:before="90" w:after="75" w:line="360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28"/>
          <w:szCs w:val="28"/>
        </w:rPr>
        <w:t xml:space="preserve">Ключевые оговорки</w:t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1900"/>
        <w:gridCol w:w="8306"/>
      </w:tblGrid>
      <w:tr>
        <w:trPr>
          <w:cantSplit/>
        </w:trPr>
        <w:tc>
          <w:tcPr>
            <w:tcW w:type="dxa" w:w="1900"/>
            <w:shd w:fill="1F2423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5"/>
                <w:szCs w:val="15"/>
              </w:rPr>
              <w:t xml:space="preserve">Маркер</w:t>
            </w:r>
          </w:p>
        </w:tc>
        <w:tc>
          <w:tcPr>
            <w:tcW w:type="dxa" w:w="8306"/>
            <w:shd w:fill="1F2423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5"/>
                <w:szCs w:val="15"/>
              </w:rPr>
              <w:t xml:space="preserve">Формулировка</w:t>
            </w:r>
          </w:p>
        </w:tc>
      </w:tr>
      <w:tr>
        <w:trPr>
          <w:cantSplit/>
        </w:trPr>
        <w:tc>
          <w:tcPr>
            <w:tcW w:type="dxa" w:w="1900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Факт</w:t>
            </w:r>
          </w:p>
        </w:tc>
        <w:tc>
          <w:tcPr>
            <w:tcW w:type="dxa" w:w="8306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On-prem не означает автоматическое соблюдение 152-ФЗ</w:t>
            </w:r>
          </w:p>
        </w:tc>
      </w:tr>
      <w:tr>
        <w:trPr>
          <w:cantSplit/>
        </w:trPr>
        <w:tc>
          <w:tcPr>
            <w:tcW w:type="dxa" w:w="1900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Факт</w:t>
            </w:r>
          </w:p>
        </w:tc>
        <w:tc>
          <w:tcPr>
            <w:tcW w:type="dxa" w:w="8306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Модель может ошибаться; источники и проверка снижают риск, но не дают нулевой вероятности ошибки</w:t>
            </w:r>
          </w:p>
        </w:tc>
      </w:tr>
      <w:tr>
        <w:trPr>
          <w:cantSplit/>
        </w:trPr>
        <w:tc>
          <w:tcPr>
            <w:tcW w:type="dxa" w:w="1900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Расчёт</w:t>
            </w:r>
          </w:p>
        </w:tc>
        <w:tc>
          <w:tcPr>
            <w:tcW w:type="dxa" w:w="8306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Стоимость и ROI зависят от данных, загрузки, курса, оборудования, лицензий и поддержки</w:t>
            </w:r>
          </w:p>
        </w:tc>
      </w:tr>
      <w:tr>
        <w:trPr>
          <w:cantSplit/>
        </w:trPr>
        <w:tc>
          <w:tcPr>
            <w:tcW w:type="dxa" w:w="1900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Цель пилота</w:t>
            </w:r>
          </w:p>
        </w:tc>
        <w:tc>
          <w:tcPr>
            <w:tcW w:type="dxa" w:w="8306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Функциональные проценты — цели проверки, не гарантия результата</w:t>
            </w:r>
          </w:p>
        </w:tc>
      </w:tr>
      <w:tr>
        <w:trPr>
          <w:cantSplit/>
        </w:trPr>
        <w:tc>
          <w:tcPr>
            <w:tcW w:type="dxa" w:w="1900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Рекомендация</w:t>
            </w:r>
          </w:p>
        </w:tc>
        <w:tc>
          <w:tcPr>
            <w:tcW w:type="dxa" w:w="8306"/>
            <w:shd w:fill="FCFAF5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Каждый новый сценарий, источник и действие проходят повторную оценку данных и риска</w:t>
            </w:r>
          </w:p>
        </w:tc>
      </w:tr>
      <w:tr>
        <w:trPr>
          <w:cantSplit/>
        </w:trPr>
        <w:tc>
          <w:tcPr>
            <w:tcW w:type="dxa" w:w="1900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Рынок</w:t>
            </w:r>
          </w:p>
        </w:tc>
        <w:tc>
          <w:tcPr>
            <w:tcW w:type="dxa" w:w="8306"/>
            <w:shd w:fill="F0EBE1" w:val="clear"/>
            <w:tcMar>
              <w:top w:type="dxa" w:w="42"/>
              <w:left w:type="dxa" w:w="95"/>
              <w:bottom w:type="dxa" w:w="42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5"/>
                <w:szCs w:val="15"/>
              </w:rPr>
              <w:t xml:space="preserve">Проверенных объявлений Avito: 0; б/у оборудование не включено как подтверждённая цена</w:t>
            </w:r>
          </w:p>
        </w:tc>
      </w:tr>
    </w:tbl>
    <w:p>
      <w:pPr>
        <w:keepNext/>
        <w:spacing w:before="90" w:after="75" w:line="360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28"/>
          <w:szCs w:val="28"/>
        </w:rPr>
        <w:t xml:space="preserve">Срок действия и уточнения</w:t>
      </w:r>
    </w:p>
    <w:p>
      <w:pPr>
        <w:keepNext w:val="false"/>
        <w:keepLines/>
        <w:spacing w:before="0" w:after="92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Это ценовой снимок на 09.09.2026. Публичные цены и сроки поставки проверяются перед счётом; итоговые обязательства возникают только из подписанного договора, технического задания, спецификации и SLA.</w:t>
      </w:r>
    </w:p>
    <w:p>
      <w:pPr>
        <w:keepNext w:val="false"/>
        <w:keepLines/>
        <w:spacing w:before="0" w:after="0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На диагностике уточняются данные, число пользователей, одновременная нагрузка, интеграции, допустимое время ответа, RPO/RTO, режим ПДн/тайны, применимость КИИ/ГИС/СКЗИ, площадка и ответственные.</w:t>
      </w:r>
    </w:p>
    <w:p>
      <w:pPr>
        <w:keepNext w:val="false"/>
        <w:keepLines/>
        <w:pBdr>
          <w:top w:val="single" w:color="D9D4CA" w:sz="6" w:space="5"/>
        </w:pBdr>
        <w:spacing w:before="90" w:after="0" w:line="19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6E706D"/>
          <w:sz w:val="15"/>
          <w:szCs w:val="15"/>
        </w:rPr>
        <w:t xml:space="preserve">Источники · E2 — правовые/ИБ-оговорки; E4 — рыночный снимок и ROI · v1, не публичная оферта</w:t>
      </w:r>
    </w:p>
    <w:p>
      <w:r>
        <w:br w:type="page"/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5613"/>
        <w:gridCol w:w="4592"/>
      </w:tblGrid>
      <w:tr>
        <w:trPr>
          <w:cantSplit/>
        </w:trPr>
        <w:tc>
          <w:tcPr>
            <w:tcW w:type="dxa" w:w="5613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ФОРМАТ 43</w:t>
            </w: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A64B2A"/>
                <w:sz w:val="14"/>
                <w:szCs w:val="14"/>
              </w:rPr>
              <w:t xml:space="preserve">   СНАЧАЛА ФАКТ</w:t>
            </w:r>
          </w:p>
        </w:tc>
        <w:tc>
          <w:tcPr>
            <w:tcW w:type="dxa" w:w="4592"/>
            <w:shd w:fill="FCFAF5" w:val="clear"/>
            <w:tcMar>
              <w:top w:type="dxa" w:w="35"/>
              <w:left w:type="dxa" w:w="95"/>
              <w:bottom w:type="dxa" w:w="3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190"/>
              <w:jc w:val="righ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6E706D"/>
                <w:sz w:val="14"/>
                <w:szCs w:val="14"/>
              </w:rPr>
              <w:t xml:space="preserve">КОММЕРЧЕСКОЕ ПРЕДЛОЖЕНИЕ  ·  10</w:t>
            </w:r>
          </w:p>
        </w:tc>
      </w:tr>
    </w:tbl>
    <w:p>
      <w:pPr>
        <w:keepNext/>
        <w:keepLines/>
        <w:spacing w:before="0" w:after="72" w:line="210"/>
        <w:jc w:val="left"/>
      </w:pPr>
      <w:r>
        <w:rPr>
          <w:rFonts w:ascii="Golos Text" w:cs="Golos Text" w:eastAsia="Golos Text" w:hAnsi="Golos Text"/>
          <w:b/>
          <w:bCs/>
          <w:i w:val="false"/>
          <w:iCs w:val="false"/>
          <w:caps w:val="false"/>
          <w:color w:val="A64B2A"/>
          <w:sz w:val="15"/>
          <w:szCs w:val="15"/>
        </w:rPr>
        <w:t xml:space="preserve">СЛЕДУЮЩИЙ ШАГ</w:t>
      </w:r>
    </w:p>
    <w:p>
      <w:pPr>
        <w:keepNext/>
        <w:keepLines/>
        <w:spacing w:before="0" w:after="150" w:line="650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52"/>
          <w:szCs w:val="52"/>
        </w:rPr>
        <w:t xml:space="preserve">90 минут, после которых можно сказать «нет»</w:t>
      </w:r>
    </w:p>
    <w:p>
      <w:pPr>
        <w:spacing w:line="2850" w:after="25"/>
        <w:jc w:val="center"/>
      </w:pPr>
      <w:r>
        <w:drawing>
          <wp:inline distT="0" distB="0" distL="0" distR="0">
            <wp:extent cx="5905500" cy="1809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keepLines/>
        <w:spacing w:before="0" w:after="70" w:line="190"/>
        <w:jc w:val="center"/>
      </w:pPr>
      <w:r>
        <w:rPr>
          <w:rFonts w:ascii="Golos Text" w:cs="Golos Text" w:eastAsia="Golos Text" w:hAnsi="Golos Text"/>
          <w:b w:val="false"/>
          <w:bCs w:val="false"/>
          <w:i/>
          <w:iCs/>
          <w:caps w:val="false"/>
          <w:color w:val="6E706D"/>
          <w:sz w:val="15"/>
          <w:szCs w:val="15"/>
        </w:rPr>
        <w:t xml:space="preserve">Визуализация концепции</w:t>
      </w:r>
    </w:p>
    <w:p>
      <w:pPr>
        <w:keepNext w:val="false"/>
        <w:keepLines/>
        <w:spacing w:before="0" w:after="92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Не начинайте с выбора видеокарты. Начните с процесса, где уже теряются часы, сроки или качество.</w:t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single" w:color="D9D4CA" w:sz="5"/>
        </w:tblBorders>
        <w:tblLayout w:type="fixed"/>
      </w:tblPr>
      <w:tblGrid>
        <w:gridCol w:w="5103"/>
        <w:gridCol w:w="5103"/>
      </w:tblGrid>
      <w:tr>
        <w:trPr>
          <w:cantSplit/>
        </w:trPr>
        <w:tc>
          <w:tcPr>
            <w:tcW w:type="dxa" w:w="5103"/>
            <w:shd w:fill="1F2423" w:val="clear"/>
            <w:tcMar>
              <w:top w:type="dxa" w:w="45"/>
              <w:left w:type="dxa" w:w="95"/>
              <w:bottom w:type="dxa" w:w="4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6"/>
                <w:szCs w:val="16"/>
              </w:rPr>
              <w:t xml:space="preserve">Принести на встречу</w:t>
            </w:r>
          </w:p>
        </w:tc>
        <w:tc>
          <w:tcPr>
            <w:tcW w:type="dxa" w:w="5103"/>
            <w:shd w:fill="1F2423" w:val="clear"/>
            <w:tcMar>
              <w:top w:type="dxa" w:w="45"/>
              <w:left w:type="dxa" w:w="95"/>
              <w:bottom w:type="dxa" w:w="4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6"/>
                <w:szCs w:val="16"/>
              </w:rPr>
              <w:t xml:space="preserve">Получить за 90 минут</w:t>
            </w:r>
          </w:p>
        </w:tc>
      </w:tr>
      <w:tr>
        <w:trPr>
          <w:cantSplit/>
        </w:trPr>
        <w:tc>
          <w:tcPr>
            <w:tcW w:type="dxa" w:w="5103"/>
            <w:shd w:fill="FCFAF5" w:val="clear"/>
            <w:tcMar>
              <w:top w:type="dxa" w:w="45"/>
              <w:left w:type="dxa" w:w="95"/>
              <w:bottom w:type="dxa" w:w="4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Один повторяемый процесс</w:t>
            </w:r>
          </w:p>
        </w:tc>
        <w:tc>
          <w:tcPr>
            <w:tcW w:type="dxa" w:w="5103"/>
            <w:shd w:fill="FCFAF5" w:val="clear"/>
            <w:tcMar>
              <w:top w:type="dxa" w:w="45"/>
              <w:left w:type="dxa" w:w="95"/>
              <w:bottom w:type="dxa" w:w="4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Разложенный по шагам процесс</w:t>
            </w:r>
          </w:p>
        </w:tc>
      </w:tr>
      <w:tr>
        <w:trPr>
          <w:cantSplit/>
        </w:trPr>
        <w:tc>
          <w:tcPr>
            <w:tcW w:type="dxa" w:w="5103"/>
            <w:shd w:fill="F0EBE1" w:val="clear"/>
            <w:tcMar>
              <w:top w:type="dxa" w:w="45"/>
              <w:left w:type="dxa" w:w="95"/>
              <w:bottom w:type="dxa" w:w="4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5–10 обезличенных примеров</w:t>
            </w:r>
          </w:p>
        </w:tc>
        <w:tc>
          <w:tcPr>
            <w:tcW w:type="dxa" w:w="5103"/>
            <w:shd w:fill="F0EBE1" w:val="clear"/>
            <w:tcMar>
              <w:top w:type="dxa" w:w="45"/>
              <w:left w:type="dxa" w:w="95"/>
              <w:bottom w:type="dxa" w:w="4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Текущие потери времени</w:t>
            </w:r>
          </w:p>
        </w:tc>
      </w:tr>
      <w:tr>
        <w:trPr>
          <w:cantSplit/>
        </w:trPr>
        <w:tc>
          <w:tcPr>
            <w:tcW w:type="dxa" w:w="5103"/>
            <w:shd w:fill="FCFAF5" w:val="clear"/>
            <w:tcMar>
              <w:top w:type="dxa" w:w="45"/>
              <w:left w:type="dxa" w:w="95"/>
              <w:bottom w:type="dxa" w:w="4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Владельца процесса, который знает цену задержки</w:t>
            </w:r>
          </w:p>
        </w:tc>
        <w:tc>
          <w:tcPr>
            <w:tcW w:type="dxa" w:w="5103"/>
            <w:shd w:fill="FCFAF5" w:val="clear"/>
            <w:tcMar>
              <w:top w:type="dxa" w:w="45"/>
              <w:left w:type="dxa" w:w="95"/>
              <w:bottom w:type="dxa" w:w="4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Одну проверяемую задачу</w:t>
            </w:r>
          </w:p>
        </w:tc>
      </w:tr>
      <w:tr>
        <w:trPr>
          <w:cantSplit/>
        </w:trPr>
        <w:tc>
          <w:tcPr>
            <w:tcW w:type="dxa" w:w="5103"/>
            <w:shd w:fill="F0EBE1" w:val="clear"/>
            <w:tcMar>
              <w:top w:type="dxa" w:w="45"/>
              <w:left w:type="dxa" w:w="95"/>
              <w:bottom w:type="dxa" w:w="4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ИТ-специалиста, который знает источники и доступы</w:t>
            </w:r>
          </w:p>
        </w:tc>
        <w:tc>
          <w:tcPr>
            <w:tcW w:type="dxa" w:w="5103"/>
            <w:shd w:fill="F0EBE1" w:val="clear"/>
            <w:tcMar>
              <w:top w:type="dxa" w:w="45"/>
              <w:left w:type="dxa" w:w="95"/>
              <w:bottom w:type="dxa" w:w="4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Перечень допустимых данных</w:t>
            </w:r>
          </w:p>
        </w:tc>
      </w:tr>
      <w:tr>
        <w:trPr>
          <w:cantSplit/>
        </w:trPr>
        <w:tc>
          <w:tcPr>
            <w:tcW w:type="dxa" w:w="5103"/>
            <w:shd w:fill="FCFAF5" w:val="clear"/>
            <w:tcMar>
              <w:top w:type="dxa" w:w="45"/>
              <w:left w:type="dxa" w:w="95"/>
              <w:bottom w:type="dxa" w:w="4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ИБ/право — если есть чувствительные данные</w:t>
            </w:r>
          </w:p>
        </w:tc>
        <w:tc>
          <w:tcPr>
            <w:tcW w:type="dxa" w:w="5103"/>
            <w:shd w:fill="FCFAF5" w:val="clear"/>
            <w:tcMar>
              <w:top w:type="dxa" w:w="45"/>
              <w:left w:type="dxa" w:w="95"/>
              <w:bottom w:type="dxa" w:w="4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Меру успеха и повод остановиться</w:t>
            </w:r>
          </w:p>
        </w:tc>
      </w:tr>
      <w:tr>
        <w:trPr>
          <w:cantSplit/>
        </w:trPr>
        <w:tc>
          <w:tcPr>
            <w:tcW w:type="dxa" w:w="5103"/>
            <w:shd w:fill="F0EBE1" w:val="clear"/>
            <w:tcMar>
              <w:top w:type="dxa" w:w="45"/>
              <w:left w:type="dxa" w:w="95"/>
              <w:bottom w:type="dxa" w:w="4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/>
            </w:r>
          </w:p>
        </w:tc>
        <w:tc>
          <w:tcPr>
            <w:tcW w:type="dxa" w:w="5103"/>
            <w:shd w:fill="F0EBE1" w:val="clear"/>
            <w:tcMar>
              <w:top w:type="dxa" w:w="45"/>
              <w:left w:type="dxa" w:w="95"/>
              <w:bottom w:type="dxa" w:w="4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6"/>
                <w:szCs w:val="16"/>
              </w:rPr>
              <w:t xml:space="preserve">Формат пилота и следующий бюджетный шаг</w:t>
            </w:r>
          </w:p>
        </w:tc>
      </w:tr>
    </w:tbl>
    <w:tbl>
      <w:tblPr>
        <w:tblW w:type="dxa" w:w="10206"/>
        <w:tblBorders>
          <w:top w:val="none" w:color="E6ECE8" w:sz="0"/>
          <w:left w:val="single" w:color="526B60" w:sz="18"/>
          <w:bottom w:val="none" w:color="E6ECE8" w:sz="0"/>
          <w:right w:val="none" w:color="E6ECE8" w:sz="0"/>
          <w:insideH w:val="none" w:color="E6ECE8" w:sz="0"/>
          <w:insideV w:val="none" w:color="E6ECE8" w:sz="0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shd w:fill="E6ECE8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keepNext w:val="false"/>
              <w:keepLines/>
              <w:spacing w:before="0" w:after="0" w:line="23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1F2423"/>
                <w:sz w:val="23"/>
                <w:szCs w:val="23"/>
              </w:rPr>
              <w:t xml:space="preserve">Назначить 90-минутную диагностику одного процесса</w:t>
            </w:r>
          </w:p>
        </w:tc>
      </w:tr>
    </w:tbl>
    <w:p>
      <w:pPr>
        <w:keepNext/>
        <w:spacing w:before="90" w:after="75" w:line="360"/>
      </w:pPr>
      <w:r>
        <w:rPr>
          <w:rFonts w:ascii="Literata" w:cs="Literata" w:eastAsia="Literata" w:hAnsi="Literata"/>
          <w:b/>
          <w:bCs/>
          <w:i w:val="false"/>
          <w:iCs w:val="false"/>
          <w:caps w:val="false"/>
          <w:color w:val="1F2423"/>
          <w:sz w:val="28"/>
          <w:szCs w:val="28"/>
        </w:rPr>
        <w:t xml:space="preserve">Формулировка для письма</w:t>
      </w:r>
    </w:p>
    <w:p>
      <w:pPr>
        <w:keepNext w:val="false"/>
        <w:keepLines/>
        <w:spacing w:before="0" w:after="92" w:line="25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1F2423"/>
          <w:sz w:val="21"/>
          <w:szCs w:val="21"/>
        </w:rPr>
        <w:t xml:space="preserve">«Предлагаю не обсуждать AI в целом. Возьмём один процесс, 5–10 обезличенных примеров и за 90 минут решим, есть ли здесь измеримая задача. Если экономика или риск не сходятся, так и зафиксируем — до закупки оборудования».</w:t>
      </w:r>
    </w:p>
    <w:tbl>
      <w:tblPr>
        <w:tblW w:type="dxa" w:w="10206"/>
        <w:tblBorders>
          <w:top w:val="single" w:color="B28A52" w:sz="10"/>
          <w:left w:val="none" w:color="FCFAF5" w:sz="0"/>
          <w:bottom w:val="single" w:color="D9D4CA" w:sz="5"/>
          <w:right w:val="none" w:color="FCFAF5" w:sz="0"/>
          <w:insideH w:val="single" w:color="D9D4CA" w:sz="5"/>
          <w:insideV w:val="none" w:color="FCFAF5" w:sz="0"/>
        </w:tblBorders>
        <w:tblLayout w:type="fixed"/>
      </w:tblPr>
      <w:tblGrid>
        <w:gridCol w:w="5103"/>
        <w:gridCol w:w="5103"/>
      </w:tblGrid>
      <w:tr>
        <w:trPr>
          <w:cantSplit/>
        </w:trPr>
        <w:tc>
          <w:tcPr>
            <w:tcW w:type="dxa" w:w="5103"/>
            <w:shd w:fill="1F2423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7"/>
                <w:szCs w:val="17"/>
              </w:rPr>
              <w:t xml:space="preserve">Контакт</w:t>
            </w:r>
          </w:p>
        </w:tc>
        <w:tc>
          <w:tcPr>
            <w:tcW w:type="dxa" w:w="5103"/>
            <w:shd w:fill="1F2423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aps w:val="false"/>
                <w:color w:val="FCFAF5"/>
                <w:sz w:val="17"/>
                <w:szCs w:val="17"/>
              </w:rPr>
              <w:t xml:space="preserve">Следующее окно</w:t>
            </w:r>
          </w:p>
        </w:tc>
      </w:tr>
      <w:tr>
        <w:trPr>
          <w:cantSplit/>
        </w:trPr>
        <w:tc>
          <w:tcPr>
            <w:tcW w:type="dxa" w:w="5103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Менеджер Format43</w:t>
            </w:r>
          </w:p>
        </w:tc>
        <w:tc>
          <w:tcPr>
            <w:tcW w:type="dxa" w:w="5103"/>
            <w:shd w:fill="FCFAF5" w:val="clear"/>
            <w:tcMar>
              <w:top w:type="dxa" w:w="55"/>
              <w:left w:type="dxa" w:w="95"/>
              <w:bottom w:type="dxa" w:w="55"/>
              <w:right w:type="dxa" w:w="95"/>
            </w:tcMar>
            <w:vAlign w:val="center"/>
          </w:tcPr>
          <w:p>
            <w:pPr>
              <w:keepNext w:val="false"/>
              <w:keepLines/>
              <w:spacing w:before="0" w:after="0" w:line="220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aps w:val="false"/>
                <w:color w:val="1F2423"/>
                <w:sz w:val="17"/>
                <w:szCs w:val="17"/>
              </w:rPr>
              <w:t xml:space="preserve">Согласуем в ответном письме</w:t>
            </w:r>
          </w:p>
        </w:tc>
      </w:tr>
    </w:tbl>
    <w:p>
      <w:pPr>
        <w:keepNext w:val="false"/>
        <w:keepLines/>
        <w:pBdr>
          <w:top w:val="single" w:color="D9D4CA" w:sz="6" w:space="5"/>
        </w:pBdr>
        <w:spacing w:before="90" w:after="0" w:line="190"/>
        <w:jc w:val="left"/>
      </w:pPr>
      <w:r>
        <w:rPr>
          <w:rFonts w:ascii="Golos Text" w:cs="Golos Text" w:eastAsia="Golos Text" w:hAnsi="Golos Text"/>
          <w:b w:val="false"/>
          <w:bCs w:val="false"/>
          <w:i w:val="false"/>
          <w:iCs w:val="false"/>
          <w:caps w:val="false"/>
          <w:color w:val="6E706D"/>
          <w:sz w:val="15"/>
          <w:szCs w:val="15"/>
        </w:rPr>
        <w:t xml:space="preserve">Источники · E1 — диагностический workshop и критерии решения · визуализация концепции</w:t>
      </w:r>
    </w:p>
    <w:sectPr>
      <w:footerReference w:type="default" r:id="rId6"/>
      <w:pgSz w:w="11906" w:h="16838" w:orient="portrait"/>
      <w:pgMar w:top="640" w:right="850" w:bottom="690" w:left="850" w:header="300" w:footer="2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dxa" w:w="10206"/>
      <w:tblBorders>
        <w:top w:val="single" w:color="B28A52" w:sz="5"/>
        <w:left w:val="none" w:sz="0"/>
        <w:bottom w:val="none" w:sz="0"/>
        <w:right w:val="none" w:sz="0"/>
        <w:insideH w:val="none" w:sz="0"/>
        <w:insideV w:val="none" w:sz="0"/>
      </w:tblBorders>
      <w:tblLayout w:type="fixed"/>
    </w:tblPr>
    <w:tblGrid>
      <w:gridCol w:w="9356"/>
      <w:gridCol w:w="850"/>
    </w:tblGrid>
    <w:tr>
      <w:tc>
        <w:tcPr>
          <w:tcW w:type="dxa" w:w="9356"/>
          <w:tcMar>
            <w:top w:type="dxa" w:w="60"/>
            <w:left w:type="dxa" w:w="0"/>
            <w:bottom w:type="dxa" w:w="0"/>
            <w:right w:type="dxa" w:w="0"/>
          </w:tcMar>
        </w:tcPr>
        <w:p>
          <w:pPr>
            <w:keepNext w:val="false"/>
            <w:keepLines/>
            <w:spacing w:before="0" w:after="0" w:line="180"/>
            <w:jc w:val="left"/>
          </w:pPr>
          <w:r>
            <w:rPr>
              <w:rFonts w:ascii="Golos Text" w:cs="Golos Text" w:eastAsia="Golos Text" w:hAnsi="Golos Text"/>
              <w:b w:val="false"/>
              <w:bCs w:val="false"/>
              <w:i w:val="false"/>
              <w:iCs w:val="false"/>
              <w:caps w:val="false"/>
              <w:color w:val="6E706D"/>
              <w:sz w:val="14"/>
              <w:szCs w:val="14"/>
            </w:rPr>
            <w:t xml:space="preserve">Персональный AI-сервер для компании · 09.09.2026</w:t>
          </w:r>
        </w:p>
      </w:tc>
      <w:tc>
        <w:tcPr>
          <w:tcW w:type="dxa" w:w="850"/>
          <w:tcMar>
            <w:top w:type="dxa" w:w="60"/>
            <w:left w:type="dxa" w:w="0"/>
            <w:bottom w:type="dxa" w:w="0"/>
            <w:right w:type="dxa" w:w="0"/>
          </w:tcMar>
        </w:tcPr>
        <w:p>
          <w:pPr>
            <w:jc w:val="right"/>
          </w:pPr>
          <w:r>
            <w:rPr>
              <w:rFonts w:ascii="Golos Text" w:cs="Golos Text" w:eastAsia="Golos Text" w:hAnsi="Golos Text"/>
              <w:b w:val="false"/>
              <w:bCs w:val="false"/>
              <w:i w:val="false"/>
              <w:iCs w:val="false"/>
              <w:caps w:val="false"/>
              <w:color w:val="1F2423"/>
              <w:sz w:val="14"/>
              <w:szCs w:val="14"/>
            </w:rPr>
            <w:t xml:space="preserve"/>
          </w:r>
          <w:r>
            <w:rPr>
              <w:rFonts w:ascii="Golos Text" w:cs="Golos Text" w:eastAsia="Golos Text" w:hAnsi="Golos Text"/>
              <w:b/>
              <w:bCs/>
              <w:color w:val="1F242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60" w:hanging="15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00" w:hanging="19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olos Text" w:cs="Golos Text" w:eastAsia="Golos Text" w:hAnsi="Golos Text"/>
        <w:color w:val="1F2423"/>
        <w:sz w:val="21"/>
        <w:szCs w:val="21"/>
      </w:rPr>
    </w:rPrDefault>
    <w:pPrDefault>
      <w:pPr>
        <w:spacing w:line="250" w:after="92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image" Target="media/0a1b25c199a64814569d9e8452c46009dfe8cc7e.png"/><Relationship Id="rId8" Type="http://schemas.openxmlformats.org/officeDocument/2006/relationships/image" Target="media/1ea28bbd8fdedefd175f0c4fef47526e028c50f1.png"/><Relationship Id="rId9" Type="http://schemas.openxmlformats.org/officeDocument/2006/relationships/image" Target="media/cc25ff9fb6940e9c01764d9289e760aec2675314.png"/><Relationship Id="rId10" Type="http://schemas.openxmlformats.org/officeDocument/2006/relationships/image" Target="media/e0761bed1efa10fd57d471cd852eee9d8eebbcac.png"/><Relationship Id="rId11" Type="http://schemas.openxmlformats.org/officeDocument/2006/relationships/image" Target="media/3863911a1da40dafff08c9c0fe943fe410c7bc2b.png"/><Relationship Id="rId12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Ваши документы начинают работать на вас — коммерческое предложение Format43</dc:title>
  <dc:subject>Персональный AI-сервер для компании</dc:subject>
  <dc:creator>Format43 / Codex</dc:creator>
  <cp:keywords>Format43, AI-сервер, on-prem, коммерческое предложение</cp:keywords>
  <dc:description>Клиентское коммерческое предложение. Каноническая дата расчёта: 09.09.2026.</dc:description>
  <cp:lastModifiedBy>Un-named</cp:lastModifiedBy>
  <cp:revision>1</cp:revision>
  <dcterms:created xsi:type="dcterms:W3CDTF">2026-09-09T13:06:04.343Z</dcterms:created>
  <dcterms:modified xsi:type="dcterms:W3CDTF">2026-09-09T13:06:04.343Z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